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0C42F" w14:textId="1F6ED830" w:rsidR="00994506" w:rsidRPr="00EF4161" w:rsidRDefault="00994506" w:rsidP="00994506">
      <w:pPr>
        <w:pStyle w:val="Szvegtrzs"/>
        <w:jc w:val="center"/>
        <w:rPr>
          <w:rFonts w:ascii="Arial Narrow" w:hAnsi="Arial Narrow"/>
          <w:b/>
          <w:sz w:val="20"/>
          <w:szCs w:val="20"/>
        </w:rPr>
      </w:pPr>
      <w:r w:rsidRPr="00EF4161">
        <w:rPr>
          <w:rFonts w:ascii="Arial Narrow" w:hAnsi="Arial Narrow"/>
          <w:b/>
          <w:sz w:val="20"/>
          <w:szCs w:val="20"/>
        </w:rPr>
        <w:t>TÁVÉRTÉKESÍTÉSI TÁJÉKOZTATÓ</w:t>
      </w:r>
    </w:p>
    <w:p w14:paraId="14F17E72" w14:textId="3B080B23" w:rsidR="00EB7D27" w:rsidRPr="00EF4161" w:rsidRDefault="00EB7D27" w:rsidP="00EB7D27">
      <w:pPr>
        <w:pStyle w:val="Szvegtrzs"/>
        <w:jc w:val="center"/>
        <w:rPr>
          <w:rFonts w:ascii="Arial Narrow" w:hAnsi="Arial Narrow"/>
          <w:b/>
          <w:sz w:val="20"/>
          <w:szCs w:val="20"/>
        </w:rPr>
      </w:pPr>
      <w:r w:rsidRPr="00EF4161">
        <w:rPr>
          <w:rFonts w:ascii="Arial Narrow" w:hAnsi="Arial Narrow"/>
          <w:b/>
          <w:caps/>
          <w:sz w:val="20"/>
          <w:szCs w:val="20"/>
        </w:rPr>
        <w:t>Természetes személy fogyasztók RÉSZÉRE</w:t>
      </w:r>
      <w:r w:rsidRPr="00EF4161">
        <w:rPr>
          <w:rFonts w:ascii="Arial Narrow" w:hAnsi="Arial Narrow"/>
          <w:b/>
          <w:sz w:val="20"/>
          <w:szCs w:val="20"/>
        </w:rPr>
        <w:t xml:space="preserve"> </w:t>
      </w:r>
    </w:p>
    <w:p w14:paraId="7A6878DC" w14:textId="77777777" w:rsidR="00EB7D27" w:rsidRPr="00EF4161" w:rsidRDefault="00EB7D27" w:rsidP="00994506">
      <w:pPr>
        <w:pStyle w:val="Szvegtrzs"/>
        <w:jc w:val="center"/>
        <w:rPr>
          <w:rFonts w:ascii="Arial Narrow" w:hAnsi="Arial Narrow"/>
          <w:b/>
          <w:sz w:val="20"/>
          <w:szCs w:val="20"/>
        </w:rPr>
      </w:pPr>
    </w:p>
    <w:p w14:paraId="3CE33217" w14:textId="75374D70" w:rsidR="00994506" w:rsidRPr="00EF4161" w:rsidRDefault="00EB7D27" w:rsidP="00EB7D27">
      <w:pPr>
        <w:pStyle w:val="Szvegtrzs"/>
        <w:jc w:val="both"/>
        <w:rPr>
          <w:rFonts w:ascii="Arial Narrow" w:hAnsi="Arial Narrow"/>
          <w:sz w:val="20"/>
          <w:szCs w:val="20"/>
        </w:rPr>
      </w:pPr>
      <w:r w:rsidRPr="00EF4161">
        <w:rPr>
          <w:rFonts w:ascii="Arial Narrow" w:hAnsi="Arial Narrow"/>
          <w:sz w:val="20"/>
          <w:szCs w:val="20"/>
        </w:rPr>
        <w:t xml:space="preserve">Kérjük, hogy figyelmesen olvassa el az alábbi tájékoztatót és a biztosítási szerződésre vonatkozó Biztosítási Feltételeket! Kifejezetten felhívjuk szíves figyelmét, hogy jelen </w:t>
      </w:r>
      <w:r w:rsidRPr="00EF4161">
        <w:rPr>
          <w:rFonts w:ascii="Arial Narrow" w:hAnsi="Arial Narrow"/>
          <w:i/>
          <w:sz w:val="20"/>
          <w:szCs w:val="20"/>
        </w:rPr>
        <w:t>Távértékesítési Tájékoztató</w:t>
      </w:r>
      <w:r w:rsidR="002E545E" w:rsidRPr="00EF4161">
        <w:rPr>
          <w:rFonts w:ascii="Arial Narrow" w:hAnsi="Arial Narrow"/>
          <w:sz w:val="20"/>
          <w:szCs w:val="20"/>
        </w:rPr>
        <w:t xml:space="preserve"> nem teljes-körű, a</w:t>
      </w:r>
      <w:r w:rsidRPr="00EF4161">
        <w:rPr>
          <w:rFonts w:ascii="Arial Narrow" w:hAnsi="Arial Narrow"/>
          <w:sz w:val="20"/>
          <w:szCs w:val="20"/>
        </w:rPr>
        <w:t xml:space="preserve"> </w:t>
      </w:r>
      <w:r w:rsidR="007912FB" w:rsidRPr="00EF4161">
        <w:rPr>
          <w:rFonts w:ascii="Arial Narrow" w:eastAsia="Times New Roman" w:hAnsi="Arial Narrow" w:cs="Times New Roman"/>
          <w:b/>
          <w:color w:val="9AAA21"/>
          <w:sz w:val="20"/>
          <w:szCs w:val="20"/>
          <w:lang w:eastAsia="hu-HU"/>
        </w:rPr>
        <w:t xml:space="preserve">CIG Pannónia Életbiztosító Nyrt. </w:t>
      </w:r>
      <w:r w:rsidRPr="00EF4161">
        <w:rPr>
          <w:rFonts w:ascii="Arial Narrow" w:hAnsi="Arial Narrow"/>
          <w:sz w:val="20"/>
          <w:szCs w:val="20"/>
        </w:rPr>
        <w:t xml:space="preserve">szolgáltatására vonatkozó szerződési feltételeket a </w:t>
      </w:r>
      <w:r w:rsidRPr="00EF4161">
        <w:rPr>
          <w:rFonts w:ascii="Arial Narrow" w:hAnsi="Arial Narrow"/>
          <w:i/>
          <w:sz w:val="20"/>
          <w:szCs w:val="20"/>
        </w:rPr>
        <w:t>Biztosítási Feltételek</w:t>
      </w:r>
      <w:r w:rsidRPr="00EF4161">
        <w:rPr>
          <w:rFonts w:ascii="Arial Narrow" w:hAnsi="Arial Narrow"/>
          <w:sz w:val="20"/>
          <w:szCs w:val="20"/>
        </w:rPr>
        <w:t xml:space="preserve"> tartalmazzák.</w:t>
      </w:r>
    </w:p>
    <w:p w14:paraId="3DFEFB94" w14:textId="77777777" w:rsidR="00900BDC" w:rsidRPr="00EF4161" w:rsidRDefault="00900BDC" w:rsidP="009945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5613657" w14:textId="1DC9335B" w:rsidR="00994506" w:rsidRPr="00EF4161" w:rsidRDefault="002E545E" w:rsidP="00994506">
      <w:pPr>
        <w:pStyle w:val="Listaszerbekezds"/>
        <w:numPr>
          <w:ilvl w:val="0"/>
          <w:numId w:val="20"/>
        </w:numPr>
        <w:tabs>
          <w:tab w:val="left" w:pos="357"/>
          <w:tab w:val="left" w:pos="1701"/>
        </w:tabs>
        <w:spacing w:after="0" w:line="240" w:lineRule="auto"/>
        <w:ind w:left="0" w:hanging="284"/>
        <w:jc w:val="both"/>
        <w:rPr>
          <w:rFonts w:ascii="Arial Narrow" w:hAnsi="Arial Narrow" w:cstheme="minorHAnsi"/>
          <w:b/>
          <w:sz w:val="20"/>
          <w:szCs w:val="20"/>
        </w:rPr>
      </w:pPr>
      <w:r w:rsidRPr="00EF4161">
        <w:rPr>
          <w:rFonts w:ascii="Arial Narrow" w:hAnsi="Arial Narrow" w:cstheme="minorHAnsi"/>
          <w:b/>
          <w:sz w:val="20"/>
          <w:szCs w:val="20"/>
        </w:rPr>
        <w:t>Biztosító</w:t>
      </w:r>
    </w:p>
    <w:p w14:paraId="3ECBB825" w14:textId="77777777" w:rsidR="007912FB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Név: </w:t>
      </w:r>
      <w:r w:rsidR="007912FB" w:rsidRPr="00EF4161">
        <w:rPr>
          <w:rFonts w:ascii="Arial Narrow" w:hAnsi="Arial Narrow" w:cstheme="minorHAnsi"/>
          <w:b/>
          <w:sz w:val="20"/>
          <w:szCs w:val="20"/>
        </w:rPr>
        <w:t xml:space="preserve">CIG Pannónia Életbiztosító Nyrt. </w:t>
      </w:r>
    </w:p>
    <w:p w14:paraId="4457595A" w14:textId="1B62F7DE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Székhely és levelezési cím: 1097 Budapest, Könyves Kálmán körút 11. B épület</w:t>
      </w:r>
    </w:p>
    <w:p w14:paraId="660BAE61" w14:textId="285087AD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Telefon: +36 1 5 100 </w:t>
      </w:r>
      <w:r w:rsidR="007912FB" w:rsidRPr="00EF4161">
        <w:rPr>
          <w:rFonts w:ascii="Arial Narrow" w:hAnsi="Arial Narrow" w:cstheme="minorHAnsi"/>
          <w:sz w:val="20"/>
          <w:szCs w:val="20"/>
        </w:rPr>
        <w:t>2</w:t>
      </w:r>
      <w:r w:rsidRPr="00EF4161">
        <w:rPr>
          <w:rFonts w:ascii="Arial Narrow" w:hAnsi="Arial Narrow" w:cstheme="minorHAnsi"/>
          <w:sz w:val="20"/>
          <w:szCs w:val="20"/>
        </w:rPr>
        <w:t>00</w:t>
      </w:r>
    </w:p>
    <w:p w14:paraId="692DB386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Fax: +36 1 247 2021</w:t>
      </w:r>
    </w:p>
    <w:p w14:paraId="194D184A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E-mail cím: </w:t>
      </w:r>
      <w:hyperlink r:id="rId11" w:history="1">
        <w:r w:rsidRPr="00EF4161">
          <w:rPr>
            <w:rStyle w:val="Hiperhivatkozs"/>
            <w:rFonts w:ascii="Arial Narrow" w:hAnsi="Arial Narrow" w:cstheme="minorHAnsi"/>
            <w:sz w:val="20"/>
            <w:szCs w:val="20"/>
          </w:rPr>
          <w:t>ugyfelszolgalat@cig.eu</w:t>
        </w:r>
      </w:hyperlink>
      <w:r w:rsidRPr="00EF4161">
        <w:rPr>
          <w:rFonts w:ascii="Arial Narrow" w:hAnsi="Arial Narrow" w:cstheme="minorHAnsi"/>
          <w:sz w:val="20"/>
          <w:szCs w:val="20"/>
        </w:rPr>
        <w:t xml:space="preserve"> </w:t>
      </w:r>
    </w:p>
    <w:p w14:paraId="28EFD21D" w14:textId="77777777" w:rsidR="007912FB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Cégjegyzékszám: </w:t>
      </w:r>
      <w:r w:rsidR="007912FB" w:rsidRPr="00EF4161">
        <w:rPr>
          <w:rFonts w:ascii="Arial Narrow" w:hAnsi="Arial Narrow" w:cstheme="minorHAnsi"/>
          <w:sz w:val="20"/>
          <w:szCs w:val="20"/>
        </w:rPr>
        <w:t xml:space="preserve">01-10-045857; </w:t>
      </w:r>
    </w:p>
    <w:p w14:paraId="2B5F7092" w14:textId="6043ED34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Nyilvántartó bíróság: Fővárosi Törvényszék Cégbírósága</w:t>
      </w:r>
    </w:p>
    <w:p w14:paraId="076E4D49" w14:textId="154C3F68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Fő tevékenységi kör: </w:t>
      </w:r>
      <w:r w:rsidR="007912FB" w:rsidRPr="00EF4161">
        <w:rPr>
          <w:rFonts w:ascii="Arial Narrow" w:hAnsi="Arial Narrow" w:cstheme="minorHAnsi"/>
          <w:sz w:val="20"/>
          <w:szCs w:val="20"/>
        </w:rPr>
        <w:t>É</w:t>
      </w:r>
      <w:r w:rsidRPr="00EF4161">
        <w:rPr>
          <w:rFonts w:ascii="Arial Narrow" w:hAnsi="Arial Narrow" w:cstheme="minorHAnsi"/>
          <w:sz w:val="20"/>
          <w:szCs w:val="20"/>
        </w:rPr>
        <w:t>letbiztosítás</w:t>
      </w:r>
    </w:p>
    <w:p w14:paraId="2D979E7F" w14:textId="5C552176" w:rsidR="00994506" w:rsidRPr="00EF4161" w:rsidRDefault="00994506" w:rsidP="009945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3534E27" w14:textId="77777777" w:rsidR="002E545E" w:rsidRPr="00EF4161" w:rsidRDefault="002E545E" w:rsidP="002E545E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EF4161">
        <w:rPr>
          <w:rFonts w:ascii="Arial Narrow" w:hAnsi="Arial Narrow" w:cstheme="minorHAnsi"/>
          <w:b/>
          <w:sz w:val="20"/>
          <w:szCs w:val="20"/>
        </w:rPr>
        <w:t>BIZTOSÍTÁSKÖZVETÍTŐ</w:t>
      </w:r>
    </w:p>
    <w:p w14:paraId="44368A92" w14:textId="77777777" w:rsidR="00EF4161" w:rsidRDefault="002E545E" w:rsidP="002E545E">
      <w:pPr>
        <w:spacing w:after="0" w:line="240" w:lineRule="auto"/>
        <w:jc w:val="both"/>
        <w:rPr>
          <w:rFonts w:ascii="Arial Narrow" w:hAnsi="Arial Narrow" w:cstheme="minorHAnsi"/>
          <w:b/>
          <w:bCs/>
          <w:i/>
          <w:iCs/>
          <w:sz w:val="20"/>
          <w:szCs w:val="20"/>
        </w:rPr>
      </w:pPr>
      <w:r w:rsidRPr="00EF4161">
        <w:rPr>
          <w:rFonts w:ascii="Arial Narrow" w:hAnsi="Arial Narrow"/>
          <w:sz w:val="20"/>
          <w:szCs w:val="20"/>
        </w:rPr>
        <w:t xml:space="preserve">Név: </w:t>
      </w:r>
      <w:proofErr w:type="spellStart"/>
      <w:r w:rsidR="0007595D" w:rsidRPr="00EF4161">
        <w:rPr>
          <w:rFonts w:ascii="Arial Narrow" w:hAnsi="Arial Narrow" w:cstheme="minorHAnsi"/>
          <w:b/>
          <w:bCs/>
          <w:sz w:val="20"/>
          <w:szCs w:val="20"/>
        </w:rPr>
        <w:t>PromoBox</w:t>
      </w:r>
      <w:proofErr w:type="spellEnd"/>
      <w:r w:rsidR="0007595D" w:rsidRPr="00EF4161">
        <w:rPr>
          <w:rFonts w:ascii="Arial Narrow" w:hAnsi="Arial Narrow" w:cstheme="minorHAnsi"/>
          <w:b/>
          <w:bCs/>
          <w:sz w:val="20"/>
          <w:szCs w:val="20"/>
        </w:rPr>
        <w:t xml:space="preserve"> Reklámügynöki Korlátolt Felelősségű Társaság</w:t>
      </w:r>
      <w:r w:rsidR="0007595D" w:rsidRPr="00EF4161">
        <w:rPr>
          <w:rFonts w:ascii="Arial Narrow" w:hAnsi="Arial Narrow" w:cstheme="minorHAnsi"/>
          <w:b/>
          <w:bCs/>
          <w:i/>
          <w:iCs/>
          <w:sz w:val="20"/>
          <w:szCs w:val="20"/>
        </w:rPr>
        <w:t xml:space="preserve"> </w:t>
      </w:r>
    </w:p>
    <w:p w14:paraId="4519F3B8" w14:textId="1B41BE84" w:rsidR="002E545E" w:rsidRPr="00EF4161" w:rsidRDefault="002E545E" w:rsidP="002E545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F4161">
        <w:rPr>
          <w:rFonts w:ascii="Arial Narrow" w:hAnsi="Arial Narrow"/>
          <w:sz w:val="20"/>
          <w:szCs w:val="20"/>
        </w:rPr>
        <w:t xml:space="preserve">Székhely: </w:t>
      </w:r>
      <w:r w:rsidR="0007595D" w:rsidRPr="00EF4161">
        <w:rPr>
          <w:rFonts w:ascii="Arial Narrow" w:hAnsi="Arial Narrow" w:cstheme="minorHAnsi"/>
          <w:bCs/>
          <w:sz w:val="20"/>
          <w:szCs w:val="20"/>
          <w:shd w:val="clear" w:color="auto" w:fill="FFFFFF"/>
        </w:rPr>
        <w:t>1123 Budapest, Alkotás utca 53. A torony 5. em.</w:t>
      </w:r>
    </w:p>
    <w:p w14:paraId="21705DF8" w14:textId="77777777" w:rsidR="006F3733" w:rsidRDefault="002E545E" w:rsidP="002E545E">
      <w:pPr>
        <w:spacing w:after="0" w:line="240" w:lineRule="auto"/>
        <w:jc w:val="both"/>
        <w:rPr>
          <w:rFonts w:ascii="Arial Narrow" w:hAnsi="Arial Narrow" w:cstheme="minorHAnsi"/>
          <w:bCs/>
          <w:sz w:val="20"/>
          <w:szCs w:val="20"/>
          <w:highlight w:val="yellow"/>
          <w:shd w:val="clear" w:color="auto" w:fill="FFFFFF"/>
        </w:rPr>
      </w:pPr>
      <w:r w:rsidRPr="00EF4161">
        <w:rPr>
          <w:rFonts w:ascii="Arial Narrow" w:hAnsi="Arial Narrow"/>
          <w:sz w:val="20"/>
          <w:szCs w:val="20"/>
          <w:highlight w:val="yellow"/>
        </w:rPr>
        <w:t xml:space="preserve">Levelezési cím: </w:t>
      </w:r>
      <w:r w:rsidR="0007595D" w:rsidRPr="00EF4161">
        <w:rPr>
          <w:rFonts w:ascii="Arial Narrow" w:hAnsi="Arial Narrow" w:cstheme="minorHAnsi"/>
          <w:bCs/>
          <w:sz w:val="20"/>
          <w:szCs w:val="20"/>
          <w:highlight w:val="yellow"/>
          <w:shd w:val="clear" w:color="auto" w:fill="FFFFFF"/>
        </w:rPr>
        <w:t>1123 Budapest, Alkotás utca 53. A torony 5. em.</w:t>
      </w:r>
    </w:p>
    <w:p w14:paraId="2FF58EA0" w14:textId="20A2D274" w:rsidR="002E545E" w:rsidRPr="00EF4161" w:rsidRDefault="002E545E" w:rsidP="002E545E">
      <w:pPr>
        <w:spacing w:after="0" w:line="240" w:lineRule="auto"/>
        <w:jc w:val="both"/>
        <w:rPr>
          <w:rFonts w:ascii="Arial Narrow" w:hAnsi="Arial Narrow"/>
          <w:sz w:val="20"/>
          <w:szCs w:val="20"/>
          <w:highlight w:val="yellow"/>
        </w:rPr>
      </w:pPr>
      <w:bookmarkStart w:id="0" w:name="_GoBack"/>
      <w:bookmarkEnd w:id="0"/>
      <w:r w:rsidRPr="00EF4161">
        <w:rPr>
          <w:rFonts w:ascii="Arial Narrow" w:hAnsi="Arial Narrow"/>
          <w:sz w:val="20"/>
          <w:szCs w:val="20"/>
          <w:highlight w:val="yellow"/>
        </w:rPr>
        <w:t xml:space="preserve">Telefon: </w:t>
      </w:r>
    </w:p>
    <w:p w14:paraId="7A6D6936" w14:textId="77777777" w:rsidR="002E545E" w:rsidRPr="00EF4161" w:rsidRDefault="002E545E" w:rsidP="002E545E">
      <w:pPr>
        <w:spacing w:after="0" w:line="240" w:lineRule="auto"/>
        <w:jc w:val="both"/>
        <w:rPr>
          <w:rFonts w:ascii="Arial Narrow" w:hAnsi="Arial Narrow"/>
          <w:sz w:val="20"/>
          <w:szCs w:val="20"/>
          <w:highlight w:val="yellow"/>
        </w:rPr>
      </w:pPr>
      <w:r w:rsidRPr="00EF4161">
        <w:rPr>
          <w:rFonts w:ascii="Arial Narrow" w:hAnsi="Arial Narrow"/>
          <w:sz w:val="20"/>
          <w:szCs w:val="20"/>
          <w:highlight w:val="yellow"/>
        </w:rPr>
        <w:t>Fax:</w:t>
      </w:r>
    </w:p>
    <w:p w14:paraId="526A3BB2" w14:textId="13613653" w:rsidR="002E545E" w:rsidRPr="00EF4161" w:rsidRDefault="002E545E" w:rsidP="002E545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F4161">
        <w:rPr>
          <w:rFonts w:ascii="Arial Narrow" w:hAnsi="Arial Narrow"/>
          <w:sz w:val="20"/>
          <w:szCs w:val="20"/>
          <w:highlight w:val="yellow"/>
        </w:rPr>
        <w:t>E-mail:</w:t>
      </w:r>
      <w:r w:rsidRPr="00EF4161">
        <w:rPr>
          <w:rFonts w:ascii="Arial Narrow" w:hAnsi="Arial Narrow"/>
          <w:sz w:val="20"/>
          <w:szCs w:val="20"/>
        </w:rPr>
        <w:t xml:space="preserve"> </w:t>
      </w:r>
    </w:p>
    <w:p w14:paraId="105F73D2" w14:textId="77777777" w:rsidR="00EF4161" w:rsidRDefault="002E545E" w:rsidP="002E545E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/>
          <w:sz w:val="20"/>
          <w:szCs w:val="20"/>
        </w:rPr>
        <w:t xml:space="preserve">Cégjegyzékszám: </w:t>
      </w:r>
      <w:r w:rsidR="0007595D" w:rsidRPr="00EF4161">
        <w:rPr>
          <w:rFonts w:ascii="Arial Narrow" w:hAnsi="Arial Narrow" w:cstheme="minorHAnsi"/>
          <w:sz w:val="20"/>
          <w:szCs w:val="20"/>
        </w:rPr>
        <w:t>01-09-933723</w:t>
      </w:r>
    </w:p>
    <w:p w14:paraId="7EB32365" w14:textId="6E500F14" w:rsidR="002E545E" w:rsidRPr="00EF4161" w:rsidRDefault="002E545E" w:rsidP="002E545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F4161">
        <w:rPr>
          <w:rFonts w:ascii="Arial Narrow" w:hAnsi="Arial Narrow"/>
          <w:sz w:val="20"/>
          <w:szCs w:val="20"/>
        </w:rPr>
        <w:t xml:space="preserve">Nyilvántartó bíróság: </w:t>
      </w:r>
      <w:r w:rsidRPr="00EF4161">
        <w:rPr>
          <w:rFonts w:ascii="Arial Narrow" w:hAnsi="Arial Narrow" w:cstheme="minorHAnsi"/>
          <w:sz w:val="20"/>
          <w:szCs w:val="20"/>
        </w:rPr>
        <w:t>Fővárosi Törvényszék Cégbírósága</w:t>
      </w:r>
    </w:p>
    <w:p w14:paraId="48F1990A" w14:textId="1C4DA0E5" w:rsidR="002E545E" w:rsidRPr="00EF4161" w:rsidRDefault="002E545E" w:rsidP="009945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F4161">
        <w:rPr>
          <w:rFonts w:ascii="Arial Narrow" w:hAnsi="Arial Narrow"/>
          <w:sz w:val="20"/>
          <w:szCs w:val="20"/>
        </w:rPr>
        <w:t xml:space="preserve">Fő tevékenységi kör: </w:t>
      </w:r>
      <w:r w:rsidRPr="00EF4161">
        <w:rPr>
          <w:rFonts w:ascii="Arial Narrow" w:hAnsi="Arial Narrow"/>
          <w:sz w:val="20"/>
          <w:szCs w:val="20"/>
          <w:highlight w:val="yellow"/>
        </w:rPr>
        <w:t>Egyéb monetáris közvetítés</w:t>
      </w:r>
    </w:p>
    <w:p w14:paraId="1163F0BA" w14:textId="77777777" w:rsidR="002E545E" w:rsidRPr="00EF4161" w:rsidRDefault="002E545E" w:rsidP="009945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A43B08E" w14:textId="00009107" w:rsidR="00994506" w:rsidRPr="00EF4161" w:rsidRDefault="00994506" w:rsidP="00994506">
      <w:pPr>
        <w:pStyle w:val="Listaszerbekezds"/>
        <w:numPr>
          <w:ilvl w:val="0"/>
          <w:numId w:val="20"/>
        </w:numPr>
        <w:tabs>
          <w:tab w:val="left" w:pos="357"/>
          <w:tab w:val="left" w:pos="1701"/>
        </w:tabs>
        <w:spacing w:after="0" w:line="240" w:lineRule="auto"/>
        <w:ind w:left="0" w:hanging="284"/>
        <w:jc w:val="both"/>
        <w:rPr>
          <w:rFonts w:ascii="Arial Narrow" w:hAnsi="Arial Narrow" w:cstheme="minorHAnsi"/>
          <w:b/>
          <w:sz w:val="20"/>
          <w:szCs w:val="20"/>
        </w:rPr>
      </w:pPr>
      <w:r w:rsidRPr="00EF4161">
        <w:rPr>
          <w:rFonts w:ascii="Arial Narrow" w:hAnsi="Arial Narrow" w:cstheme="minorHAnsi"/>
          <w:b/>
          <w:sz w:val="20"/>
          <w:szCs w:val="20"/>
        </w:rPr>
        <w:t>FELÜGYELETI SZERV</w:t>
      </w:r>
      <w:r w:rsidR="007D68D5" w:rsidRPr="00EF4161">
        <w:rPr>
          <w:rFonts w:ascii="Arial Narrow" w:hAnsi="Arial Narrow" w:cstheme="minorHAnsi"/>
          <w:b/>
          <w:sz w:val="20"/>
          <w:szCs w:val="20"/>
        </w:rPr>
        <w:t>ÜK</w:t>
      </w:r>
    </w:p>
    <w:p w14:paraId="61D8DB8D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Név: Magyar Nemzeti Bank („</w:t>
      </w:r>
      <w:r w:rsidRPr="00EF4161">
        <w:rPr>
          <w:rFonts w:ascii="Arial Narrow" w:hAnsi="Arial Narrow" w:cstheme="minorHAnsi"/>
          <w:b/>
          <w:sz w:val="20"/>
          <w:szCs w:val="20"/>
        </w:rPr>
        <w:t>MNB</w:t>
      </w:r>
      <w:r w:rsidRPr="00EF4161">
        <w:rPr>
          <w:rFonts w:ascii="Arial Narrow" w:hAnsi="Arial Narrow" w:cstheme="minorHAnsi"/>
          <w:sz w:val="20"/>
          <w:szCs w:val="20"/>
        </w:rPr>
        <w:t>”)</w:t>
      </w:r>
    </w:p>
    <w:p w14:paraId="576B9141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Székhely: 1013 Budapest, Krisztina körút 55.</w:t>
      </w:r>
    </w:p>
    <w:p w14:paraId="54B04D11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Ügyfélszolgálat: 1122 Budapest, Krisztina körút 6.</w:t>
      </w:r>
    </w:p>
    <w:p w14:paraId="0A8978F2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Levélcím: 1534 Budapest BKKP Postafiók: 777.</w:t>
      </w:r>
    </w:p>
    <w:p w14:paraId="56F18161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Internetes elérhetőség: </w:t>
      </w:r>
      <w:hyperlink r:id="rId12" w:history="1">
        <w:r w:rsidRPr="00EF4161">
          <w:rPr>
            <w:rStyle w:val="Hiperhivatkozs"/>
            <w:rFonts w:ascii="Arial Narrow" w:hAnsi="Arial Narrow" w:cstheme="minorHAnsi"/>
            <w:sz w:val="20"/>
            <w:szCs w:val="20"/>
          </w:rPr>
          <w:t>www.mnb.hu</w:t>
        </w:r>
      </w:hyperlink>
      <w:r w:rsidRPr="00EF4161">
        <w:rPr>
          <w:rFonts w:ascii="Arial Narrow" w:hAnsi="Arial Narrow" w:cstheme="minorHAnsi"/>
          <w:sz w:val="20"/>
          <w:szCs w:val="20"/>
        </w:rPr>
        <w:t xml:space="preserve"> </w:t>
      </w:r>
    </w:p>
    <w:p w14:paraId="09FD3930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E-mail: </w:t>
      </w:r>
      <w:hyperlink r:id="rId13" w:history="1">
        <w:r w:rsidRPr="00EF4161">
          <w:rPr>
            <w:rStyle w:val="Hiperhivatkozs"/>
            <w:rFonts w:ascii="Arial Narrow" w:hAnsi="Arial Narrow" w:cstheme="minorHAnsi"/>
            <w:sz w:val="20"/>
            <w:szCs w:val="20"/>
          </w:rPr>
          <w:t>ugyfelszolgalat@mnb.hu</w:t>
        </w:r>
      </w:hyperlink>
      <w:r w:rsidRPr="00EF4161">
        <w:rPr>
          <w:rFonts w:ascii="Arial Narrow" w:hAnsi="Arial Narrow" w:cstheme="minorHAnsi"/>
          <w:sz w:val="20"/>
          <w:szCs w:val="20"/>
        </w:rPr>
        <w:t xml:space="preserve"> </w:t>
      </w:r>
    </w:p>
    <w:p w14:paraId="52879CD6" w14:textId="65E892B5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Ügy</w:t>
      </w:r>
      <w:r w:rsidR="00542478" w:rsidRPr="00EF4161">
        <w:rPr>
          <w:rFonts w:ascii="Arial Narrow" w:hAnsi="Arial Narrow" w:cstheme="minorHAnsi"/>
          <w:sz w:val="20"/>
          <w:szCs w:val="20"/>
        </w:rPr>
        <w:t xml:space="preserve">félszolgálati telefonszám: +36 </w:t>
      </w:r>
      <w:r w:rsidRPr="00EF4161">
        <w:rPr>
          <w:rFonts w:ascii="Arial Narrow" w:hAnsi="Arial Narrow" w:cstheme="minorHAnsi"/>
          <w:sz w:val="20"/>
          <w:szCs w:val="20"/>
        </w:rPr>
        <w:t>80 203 776</w:t>
      </w:r>
    </w:p>
    <w:p w14:paraId="379892A3" w14:textId="77777777" w:rsidR="00994506" w:rsidRPr="00EF4161" w:rsidRDefault="00994506" w:rsidP="009945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33E4955" w14:textId="77777777" w:rsidR="00994506" w:rsidRPr="00EF4161" w:rsidRDefault="00994506" w:rsidP="00994506">
      <w:pPr>
        <w:pStyle w:val="Listaszerbekezds"/>
        <w:numPr>
          <w:ilvl w:val="0"/>
          <w:numId w:val="20"/>
        </w:numPr>
        <w:tabs>
          <w:tab w:val="left" w:pos="357"/>
          <w:tab w:val="left" w:pos="1701"/>
        </w:tabs>
        <w:spacing w:after="0" w:line="240" w:lineRule="auto"/>
        <w:ind w:left="0" w:hanging="284"/>
        <w:jc w:val="both"/>
        <w:rPr>
          <w:rFonts w:ascii="Arial Narrow" w:hAnsi="Arial Narrow" w:cstheme="minorHAnsi"/>
          <w:b/>
          <w:sz w:val="20"/>
          <w:szCs w:val="20"/>
        </w:rPr>
      </w:pPr>
      <w:r w:rsidRPr="00EF4161">
        <w:rPr>
          <w:rFonts w:ascii="Arial Narrow" w:hAnsi="Arial Narrow" w:cstheme="minorHAnsi"/>
          <w:b/>
          <w:sz w:val="20"/>
          <w:szCs w:val="20"/>
        </w:rPr>
        <w:t>SZOLGÁLTATÁS</w:t>
      </w:r>
    </w:p>
    <w:p w14:paraId="37904514" w14:textId="6B3EA2D1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A Biztosításhoz való csatlakozást követően a Biztosító biztosítási szolgáltatást nyújt a fogyasztó </w:t>
      </w:r>
      <w:r w:rsidR="00542478" w:rsidRPr="00EF4161">
        <w:rPr>
          <w:rFonts w:ascii="Arial Narrow" w:hAnsi="Arial Narrow" w:cstheme="minorHAnsi"/>
          <w:sz w:val="20"/>
          <w:szCs w:val="20"/>
        </w:rPr>
        <w:t>Biztosított („</w:t>
      </w:r>
      <w:r w:rsidR="00542478" w:rsidRPr="00EF4161">
        <w:rPr>
          <w:rFonts w:ascii="Arial Narrow" w:hAnsi="Arial Narrow" w:cstheme="minorHAnsi"/>
          <w:b/>
          <w:sz w:val="20"/>
          <w:szCs w:val="20"/>
        </w:rPr>
        <w:t>Fogyasztó</w:t>
      </w:r>
      <w:r w:rsidR="00542478" w:rsidRPr="00EF4161">
        <w:rPr>
          <w:rFonts w:ascii="Arial Narrow" w:hAnsi="Arial Narrow" w:cstheme="minorHAnsi"/>
          <w:sz w:val="20"/>
          <w:szCs w:val="20"/>
        </w:rPr>
        <w:t xml:space="preserve">”) </w:t>
      </w:r>
      <w:r w:rsidRPr="00EF4161">
        <w:rPr>
          <w:rFonts w:ascii="Arial Narrow" w:hAnsi="Arial Narrow" w:cstheme="minorHAnsi"/>
          <w:sz w:val="20"/>
          <w:szCs w:val="20"/>
        </w:rPr>
        <w:t>részére. A Távértékesítési Tájékoztató alkalmazásában Fogyasztó az a természetes személy, akinek a részére – önálló foglalkozása és gazdasági tevékenysége körén kívül eső célból – a szolgáltatást nyújtják, továbbá, aki a szolgáltatással kapcsolatos tájékoztatás vagy ajánlat (ajánlati felhívás) címzettje. A Biztosításra a biztosítási tevékenységről szóló 2014. évi LXXXVIII. törvény („</w:t>
      </w:r>
      <w:r w:rsidRPr="00EF4161">
        <w:rPr>
          <w:rFonts w:ascii="Arial Narrow" w:hAnsi="Arial Narrow" w:cstheme="minorHAnsi"/>
          <w:b/>
          <w:sz w:val="20"/>
          <w:szCs w:val="20"/>
        </w:rPr>
        <w:t>Bit.</w:t>
      </w:r>
      <w:r w:rsidRPr="00EF4161">
        <w:rPr>
          <w:rFonts w:ascii="Arial Narrow" w:hAnsi="Arial Narrow" w:cstheme="minorHAnsi"/>
          <w:sz w:val="20"/>
          <w:szCs w:val="20"/>
        </w:rPr>
        <w:t>”), a Polgári Törvénykönyvről szóló 2013. évi V. törvény („</w:t>
      </w:r>
      <w:r w:rsidRPr="00EF4161">
        <w:rPr>
          <w:rFonts w:ascii="Arial Narrow" w:hAnsi="Arial Narrow" w:cstheme="minorHAnsi"/>
          <w:b/>
          <w:sz w:val="20"/>
          <w:szCs w:val="20"/>
        </w:rPr>
        <w:t>Ptk.</w:t>
      </w:r>
      <w:r w:rsidRPr="00EF4161">
        <w:rPr>
          <w:rFonts w:ascii="Arial Narrow" w:hAnsi="Arial Narrow" w:cstheme="minorHAnsi"/>
          <w:sz w:val="20"/>
          <w:szCs w:val="20"/>
        </w:rPr>
        <w:t>”), valamint a távértékesítés tekintetében a távértékesítés keretében kötött pénzügyi ágazati szolgáltatási szerződésekről szóló 2005. évi XXV. törvény („</w:t>
      </w:r>
      <w:r w:rsidRPr="00EF4161">
        <w:rPr>
          <w:rFonts w:ascii="Arial Narrow" w:hAnsi="Arial Narrow" w:cstheme="minorHAnsi"/>
          <w:b/>
          <w:sz w:val="20"/>
          <w:szCs w:val="20"/>
        </w:rPr>
        <w:t>Távértékesítési Törvény</w:t>
      </w:r>
      <w:r w:rsidRPr="00EF4161">
        <w:rPr>
          <w:rFonts w:ascii="Arial Narrow" w:hAnsi="Arial Narrow" w:cstheme="minorHAnsi"/>
          <w:sz w:val="20"/>
          <w:szCs w:val="20"/>
        </w:rPr>
        <w:t>”) rendelkezéseit kell alkalmazni.</w:t>
      </w:r>
    </w:p>
    <w:p w14:paraId="34B6EC34" w14:textId="48C775E2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A szolgáltatásra vonatkozó szerződés</w:t>
      </w:r>
      <w:r w:rsidR="006501BA" w:rsidRPr="00EF4161">
        <w:rPr>
          <w:rFonts w:ascii="Arial Narrow" w:hAnsi="Arial Narrow" w:cstheme="minorHAnsi"/>
          <w:sz w:val="20"/>
          <w:szCs w:val="20"/>
        </w:rPr>
        <w:t>es</w:t>
      </w:r>
      <w:r w:rsidRPr="00EF4161">
        <w:rPr>
          <w:rFonts w:ascii="Arial Narrow" w:hAnsi="Arial Narrow" w:cstheme="minorHAnsi"/>
          <w:sz w:val="20"/>
          <w:szCs w:val="20"/>
        </w:rPr>
        <w:t xml:space="preserve"> feltételeket, így többek között</w:t>
      </w:r>
    </w:p>
    <w:p w14:paraId="68905BDB" w14:textId="77777777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a szerződés tárgyának lényeges jellemzőit,</w:t>
      </w:r>
    </w:p>
    <w:p w14:paraId="0520E004" w14:textId="77777777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az ellenszolgáltatással kapcsolatos információkat – beleértve a szolgáltatáshoz kapcsolódó egyéb fizetési kötelezettségeket is,</w:t>
      </w:r>
    </w:p>
    <w:p w14:paraId="593EABCE" w14:textId="77777777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az ellenszolgáltatáson kívül esetlegesen felmerülő Fogyasztót terhelő egyéb fizetési kötelezettségeket,</w:t>
      </w:r>
    </w:p>
    <w:p w14:paraId="5451DA12" w14:textId="77777777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a szolgáltatáshoz kapcsolódó eszközök esetleges különleges kockázatait,</w:t>
      </w:r>
    </w:p>
    <w:p w14:paraId="6327D561" w14:textId="77777777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a megadott adatok érvényességének esetleges időbeli korlátozásait,</w:t>
      </w:r>
    </w:p>
    <w:p w14:paraId="0A31D936" w14:textId="78A9E9CC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a fizetés és teljesítés feltételeit</w:t>
      </w:r>
      <w:r w:rsidR="00EB7D27" w:rsidRPr="00EF4161">
        <w:rPr>
          <w:rFonts w:ascii="Arial Narrow" w:hAnsi="Arial Narrow" w:cstheme="minorHAnsi"/>
          <w:sz w:val="20"/>
          <w:szCs w:val="20"/>
        </w:rPr>
        <w:t>,</w:t>
      </w:r>
    </w:p>
    <w:p w14:paraId="46324E52" w14:textId="59D63208" w:rsidR="00EB7D27" w:rsidRPr="00EF4161" w:rsidRDefault="00EB7D27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a szerződés legrövidebb időtartamát,</w:t>
      </w:r>
    </w:p>
    <w:p w14:paraId="094A3374" w14:textId="20F272E7" w:rsidR="00EB7D27" w:rsidRPr="00EF4161" w:rsidRDefault="00EB7D27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A Biztosítás lejárata előtti egyoldalú megszüntetésének lehetősége és következményeire vonatkozó információt,</w:t>
      </w:r>
    </w:p>
    <w:p w14:paraId="102ED326" w14:textId="7868E112" w:rsidR="0050234E" w:rsidRPr="00EF4161" w:rsidRDefault="0050234E" w:rsidP="00E4455F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bookmarkStart w:id="1" w:name="_Hlk151986995"/>
      <w:r w:rsidRPr="00EF4161">
        <w:rPr>
          <w:rFonts w:ascii="Arial Narrow" w:hAnsi="Arial Narrow" w:cstheme="minorHAnsi"/>
          <w:sz w:val="20"/>
          <w:szCs w:val="20"/>
        </w:rPr>
        <w:t>a jogvita esetén alkalmazandó eljárásra vonatkozóan (</w:t>
      </w:r>
      <w:proofErr w:type="spellStart"/>
      <w:r w:rsidRPr="00EF4161">
        <w:rPr>
          <w:rFonts w:ascii="Arial Narrow" w:hAnsi="Arial Narrow" w:cstheme="minorHAnsi"/>
          <w:sz w:val="20"/>
          <w:szCs w:val="20"/>
        </w:rPr>
        <w:t>panaszkezelés</w:t>
      </w:r>
      <w:proofErr w:type="spellEnd"/>
      <w:r w:rsidRPr="00EF4161">
        <w:rPr>
          <w:rFonts w:ascii="Arial Narrow" w:hAnsi="Arial Narrow" w:cstheme="minorHAnsi"/>
          <w:sz w:val="20"/>
          <w:szCs w:val="20"/>
        </w:rPr>
        <w:t>) és a biztosítási szerződésből eredő jogviták peren kívüli elintézésére rendelkezésre álló fórumokról</w:t>
      </w:r>
    </w:p>
    <w:bookmarkEnd w:id="1"/>
    <w:p w14:paraId="3566A078" w14:textId="78CB33C1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a vonatkozó </w:t>
      </w:r>
      <w:r w:rsidRPr="00EF4161">
        <w:rPr>
          <w:rFonts w:ascii="Arial Narrow" w:hAnsi="Arial Narrow" w:cstheme="minorHAnsi"/>
          <w:b/>
          <w:sz w:val="20"/>
          <w:szCs w:val="20"/>
        </w:rPr>
        <w:t xml:space="preserve">Biztosítási </w:t>
      </w:r>
      <w:r w:rsidR="00EB7D27" w:rsidRPr="00EF4161">
        <w:rPr>
          <w:rFonts w:ascii="Arial Narrow" w:hAnsi="Arial Narrow" w:cstheme="minorHAnsi"/>
          <w:b/>
          <w:sz w:val="20"/>
          <w:szCs w:val="20"/>
        </w:rPr>
        <w:t>F</w:t>
      </w:r>
      <w:r w:rsidRPr="00EF4161">
        <w:rPr>
          <w:rFonts w:ascii="Arial Narrow" w:hAnsi="Arial Narrow" w:cstheme="minorHAnsi"/>
          <w:b/>
          <w:sz w:val="20"/>
          <w:szCs w:val="20"/>
        </w:rPr>
        <w:t>eltételek</w:t>
      </w:r>
      <w:r w:rsidRPr="00EF4161">
        <w:rPr>
          <w:rFonts w:ascii="Arial Narrow" w:hAnsi="Arial Narrow" w:cstheme="minorHAnsi"/>
          <w:sz w:val="20"/>
          <w:szCs w:val="20"/>
        </w:rPr>
        <w:t xml:space="preserve"> és a fenti jogszabályok tartalmazzák.</w:t>
      </w:r>
    </w:p>
    <w:p w14:paraId="3D26E9BF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A távközlő eszköz használatával kapcsolatban a Biztosító a Fogyasztóval szemben többletköltséget nem érvényesít.</w:t>
      </w:r>
    </w:p>
    <w:p w14:paraId="27AAEE0B" w14:textId="59C6ADE0" w:rsidR="003B0E73" w:rsidRPr="00EF4161" w:rsidRDefault="003B0E73" w:rsidP="009945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286AD15" w14:textId="51A60B08" w:rsidR="00994506" w:rsidRPr="00EF4161" w:rsidRDefault="00A26DD1" w:rsidP="00994506">
      <w:pPr>
        <w:pStyle w:val="Listaszerbekezds"/>
        <w:numPr>
          <w:ilvl w:val="0"/>
          <w:numId w:val="20"/>
        </w:numPr>
        <w:tabs>
          <w:tab w:val="left" w:pos="357"/>
          <w:tab w:val="left" w:pos="1701"/>
        </w:tabs>
        <w:spacing w:after="0" w:line="240" w:lineRule="auto"/>
        <w:ind w:left="0" w:hanging="284"/>
        <w:jc w:val="both"/>
        <w:rPr>
          <w:rFonts w:ascii="Arial Narrow" w:hAnsi="Arial Narrow" w:cstheme="minorHAnsi"/>
          <w:b/>
          <w:sz w:val="20"/>
          <w:szCs w:val="20"/>
        </w:rPr>
      </w:pPr>
      <w:r w:rsidRPr="00EF4161">
        <w:rPr>
          <w:rFonts w:ascii="Arial Narrow" w:hAnsi="Arial Narrow" w:cstheme="minorHAnsi"/>
          <w:b/>
          <w:sz w:val="20"/>
          <w:szCs w:val="20"/>
        </w:rPr>
        <w:t>FELMONDÁS</w:t>
      </w:r>
    </w:p>
    <w:p w14:paraId="73AADF22" w14:textId="299F6068" w:rsidR="00994506" w:rsidRPr="00EF4161" w:rsidRDefault="00EB7D27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EF4161">
        <w:rPr>
          <w:rFonts w:ascii="Arial Narrow" w:hAnsi="Arial Narrow" w:cstheme="minorHAnsi"/>
          <w:b/>
          <w:sz w:val="20"/>
          <w:szCs w:val="20"/>
        </w:rPr>
        <w:t>Felmondási</w:t>
      </w:r>
      <w:r w:rsidR="00994506" w:rsidRPr="00EF4161">
        <w:rPr>
          <w:rFonts w:ascii="Arial Narrow" w:hAnsi="Arial Narrow" w:cstheme="minorHAnsi"/>
          <w:b/>
          <w:sz w:val="20"/>
          <w:szCs w:val="20"/>
        </w:rPr>
        <w:t xml:space="preserve"> (</w:t>
      </w:r>
      <w:r w:rsidRPr="00EF4161">
        <w:rPr>
          <w:rFonts w:ascii="Arial Narrow" w:hAnsi="Arial Narrow" w:cstheme="minorHAnsi"/>
          <w:b/>
          <w:sz w:val="20"/>
          <w:szCs w:val="20"/>
        </w:rPr>
        <w:t>elállás</w:t>
      </w:r>
      <w:r w:rsidR="00994506" w:rsidRPr="00EF4161">
        <w:rPr>
          <w:rFonts w:ascii="Arial Narrow" w:hAnsi="Arial Narrow" w:cstheme="minorHAnsi"/>
          <w:b/>
          <w:sz w:val="20"/>
          <w:szCs w:val="20"/>
        </w:rPr>
        <w:t xml:space="preserve">i) jog </w:t>
      </w:r>
    </w:p>
    <w:p w14:paraId="7D3F19C1" w14:textId="12964A4F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A Fogyasztó – az alábbiakban meghatározott kivételekkel – a </w:t>
      </w:r>
      <w:r w:rsidR="00977518" w:rsidRPr="00EF4161">
        <w:rPr>
          <w:rFonts w:ascii="Arial Narrow" w:hAnsi="Arial Narrow" w:cstheme="minorHAnsi"/>
          <w:sz w:val="20"/>
          <w:szCs w:val="20"/>
        </w:rPr>
        <w:t xml:space="preserve">csatlakozási nyilatkozatát a visszaigazoló levél kézhezvételének </w:t>
      </w:r>
      <w:r w:rsidRPr="00EF4161">
        <w:rPr>
          <w:rFonts w:ascii="Arial Narrow" w:hAnsi="Arial Narrow" w:cstheme="minorHAnsi"/>
          <w:sz w:val="20"/>
          <w:szCs w:val="20"/>
        </w:rPr>
        <w:t xml:space="preserve">napjától számított </w:t>
      </w:r>
      <w:r w:rsidR="00977518" w:rsidRPr="00EF4161">
        <w:rPr>
          <w:rFonts w:ascii="Arial Narrow" w:hAnsi="Arial Narrow" w:cstheme="minorHAnsi"/>
          <w:sz w:val="20"/>
          <w:szCs w:val="20"/>
        </w:rPr>
        <w:t xml:space="preserve">30 </w:t>
      </w:r>
      <w:r w:rsidRPr="00EF4161">
        <w:rPr>
          <w:rFonts w:ascii="Arial Narrow" w:hAnsi="Arial Narrow" w:cstheme="minorHAnsi"/>
          <w:sz w:val="20"/>
          <w:szCs w:val="20"/>
        </w:rPr>
        <w:t xml:space="preserve">napon belül indokolás nélkül azonnali hatállyal felmondhatja. </w:t>
      </w:r>
      <w:r w:rsidR="00977518" w:rsidRPr="00EF4161">
        <w:rPr>
          <w:rFonts w:ascii="Arial Narrow" w:hAnsi="Arial Narrow" w:cstheme="minorHAnsi"/>
          <w:sz w:val="20"/>
          <w:szCs w:val="20"/>
        </w:rPr>
        <w:t xml:space="preserve">Ezen túlmenően a biztosítást továbbá bármely hónap utolsó napjára felmondhatja, amennyiben a felmondásról szóló írásbeli nyilatkozata a hónap 15. napjáig megérkezik a Bankhoz. Ha a felmondó nyilatkozata </w:t>
      </w:r>
      <w:r w:rsidR="00977518" w:rsidRPr="00EF4161">
        <w:rPr>
          <w:rFonts w:ascii="Arial Narrow" w:hAnsi="Arial Narrow" w:cstheme="minorHAnsi"/>
          <w:sz w:val="20"/>
          <w:szCs w:val="20"/>
        </w:rPr>
        <w:lastRenderedPageBreak/>
        <w:t>a hónap 15. napját követően érkezik meg a Bankhoz, úgy a beérkezést követő hónap utolsó napján 24 órakor szűnik meg a biztosítási jogviszony</w:t>
      </w:r>
      <w:r w:rsidRPr="00EF4161">
        <w:rPr>
          <w:rFonts w:ascii="Arial Narrow" w:hAnsi="Arial Narrow" w:cstheme="minorHAnsi"/>
          <w:sz w:val="20"/>
          <w:szCs w:val="20"/>
        </w:rPr>
        <w:t xml:space="preserve">   </w:t>
      </w:r>
    </w:p>
    <w:p w14:paraId="78CBEB6F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213F7F0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A Biztosító a Felmondási jogot határidőben érvényesítettnek tekinti, ha a Fogyasztó erre vonatkozó nyilatkozatát az alábbi címek valamelyikére megküldi: </w:t>
      </w:r>
    </w:p>
    <w:p w14:paraId="05E884CB" w14:textId="77777777" w:rsidR="00EB7D27" w:rsidRPr="00EF4161" w:rsidRDefault="00EB7D27" w:rsidP="007E3D30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Arial Narrow" w:hAnsi="Arial Narrow" w:cstheme="minorHAnsi"/>
          <w:sz w:val="20"/>
          <w:szCs w:val="20"/>
        </w:rPr>
      </w:pPr>
    </w:p>
    <w:p w14:paraId="789C3EAF" w14:textId="0B9500E5" w:rsidR="007E3D30" w:rsidRPr="00EF4161" w:rsidRDefault="00EF4161" w:rsidP="007E3D30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Arial Narrow" w:hAnsi="Arial Narrow" w:cstheme="minorHAnsi"/>
          <w:sz w:val="20"/>
          <w:szCs w:val="20"/>
        </w:rPr>
      </w:pPr>
      <w:proofErr w:type="spellStart"/>
      <w:r w:rsidRPr="00EF4161">
        <w:rPr>
          <w:rFonts w:ascii="Arial Narrow" w:hAnsi="Arial Narrow" w:cstheme="minorHAnsi"/>
          <w:b/>
          <w:bCs/>
          <w:color w:val="9AAA21" w:themeColor="accent1"/>
          <w:sz w:val="20"/>
          <w:szCs w:val="20"/>
        </w:rPr>
        <w:t>PromoBox</w:t>
      </w:r>
      <w:proofErr w:type="spellEnd"/>
      <w:r w:rsidRPr="00EF4161">
        <w:rPr>
          <w:rFonts w:ascii="Arial Narrow" w:hAnsi="Arial Narrow" w:cstheme="minorHAnsi"/>
          <w:b/>
          <w:bCs/>
          <w:color w:val="9AAA21" w:themeColor="accent1"/>
          <w:sz w:val="20"/>
          <w:szCs w:val="20"/>
        </w:rPr>
        <w:t xml:space="preserve"> Reklámügynöki Korlátolt Felelősségű Társaság</w:t>
      </w:r>
      <w:r w:rsidR="00C736E8" w:rsidRPr="00EF4161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7E3D30" w:rsidRPr="00EF4161">
        <w:rPr>
          <w:rFonts w:ascii="Arial Narrow" w:hAnsi="Arial Narrow" w:cstheme="minorHAnsi"/>
          <w:sz w:val="20"/>
          <w:szCs w:val="20"/>
        </w:rPr>
        <w:t>postai címére</w:t>
      </w:r>
      <w:r w:rsidR="00994506" w:rsidRPr="00EF4161">
        <w:rPr>
          <w:rFonts w:ascii="Arial Narrow" w:hAnsi="Arial Narrow" w:cstheme="minorHAnsi"/>
          <w:sz w:val="20"/>
          <w:szCs w:val="20"/>
        </w:rPr>
        <w:t xml:space="preserve">, </w:t>
      </w:r>
      <w:r w:rsidR="00994506" w:rsidRPr="00EF4161">
        <w:rPr>
          <w:rFonts w:ascii="Arial Narrow" w:hAnsi="Arial Narrow" w:cstheme="minorHAnsi"/>
          <w:b/>
          <w:sz w:val="20"/>
          <w:szCs w:val="20"/>
        </w:rPr>
        <w:t>vagy</w:t>
      </w:r>
      <w:r w:rsidR="00994506" w:rsidRPr="00EF4161">
        <w:rPr>
          <w:rFonts w:ascii="Arial Narrow" w:hAnsi="Arial Narrow" w:cstheme="minorHAnsi"/>
          <w:sz w:val="20"/>
          <w:szCs w:val="20"/>
        </w:rPr>
        <w:t xml:space="preserve"> elektronikus úton az </w:t>
      </w:r>
      <w:hyperlink r:id="rId14" w:history="1">
        <w:r w:rsidRPr="00EF4161">
          <w:rPr>
            <w:rStyle w:val="Hiperhivatkozs"/>
            <w:rFonts w:ascii="Arial Narrow" w:hAnsi="Arial Narrow" w:cstheme="minorHAnsi"/>
            <w:sz w:val="20"/>
            <w:szCs w:val="20"/>
            <w:highlight w:val="yellow"/>
          </w:rPr>
          <w:t>ugyfelszolgalat@promobpx.hu</w:t>
        </w:r>
      </w:hyperlink>
      <w:r w:rsidR="00DA6ABE" w:rsidRPr="00EF4161">
        <w:rPr>
          <w:rFonts w:ascii="Arial Narrow" w:hAnsi="Arial Narrow" w:cstheme="minorHAnsi"/>
          <w:sz w:val="20"/>
          <w:szCs w:val="20"/>
        </w:rPr>
        <w:t xml:space="preserve"> e</w:t>
      </w:r>
      <w:r w:rsidR="00994506" w:rsidRPr="00EF4161">
        <w:rPr>
          <w:rFonts w:ascii="Arial Narrow" w:hAnsi="Arial Narrow" w:cstheme="minorHAnsi"/>
          <w:sz w:val="20"/>
          <w:szCs w:val="20"/>
        </w:rPr>
        <w:t>-mail cím</w:t>
      </w:r>
      <w:r w:rsidR="007E3D30" w:rsidRPr="00EF4161">
        <w:rPr>
          <w:rFonts w:ascii="Arial Narrow" w:hAnsi="Arial Narrow" w:cstheme="minorHAnsi"/>
          <w:sz w:val="20"/>
          <w:szCs w:val="20"/>
        </w:rPr>
        <w:t xml:space="preserve">re, </w:t>
      </w:r>
      <w:r w:rsidR="007E3D30" w:rsidRPr="00EF4161">
        <w:rPr>
          <w:rFonts w:ascii="Arial Narrow" w:hAnsi="Arial Narrow" w:cstheme="minorHAnsi"/>
          <w:b/>
          <w:sz w:val="20"/>
          <w:szCs w:val="20"/>
        </w:rPr>
        <w:t>vagy</w:t>
      </w:r>
      <w:r w:rsidR="007E3D30" w:rsidRPr="00EF4161">
        <w:rPr>
          <w:rFonts w:ascii="Arial Narrow" w:hAnsi="Arial Narrow" w:cstheme="minorHAnsi"/>
          <w:sz w:val="20"/>
          <w:szCs w:val="20"/>
        </w:rPr>
        <w:t xml:space="preserve"> </w:t>
      </w:r>
      <w:r w:rsidR="00D72705" w:rsidRPr="00EF4161">
        <w:rPr>
          <w:rFonts w:ascii="Arial Narrow" w:hAnsi="Arial Narrow" w:cstheme="minorHAnsi"/>
          <w:sz w:val="20"/>
          <w:szCs w:val="20"/>
        </w:rPr>
        <w:t>bármelyik bankfiókban is leadhatja</w:t>
      </w:r>
      <w:r w:rsidR="00DA6ABE" w:rsidRPr="00EF4161">
        <w:rPr>
          <w:rFonts w:ascii="Arial Narrow" w:hAnsi="Arial Narrow" w:cstheme="minorHAnsi"/>
          <w:sz w:val="20"/>
          <w:szCs w:val="20"/>
        </w:rPr>
        <w:t>.</w:t>
      </w:r>
    </w:p>
    <w:p w14:paraId="55912225" w14:textId="77777777" w:rsidR="00EB7D27" w:rsidRPr="00EF4161" w:rsidRDefault="00EB7D27" w:rsidP="007E3D30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</w:p>
    <w:p w14:paraId="203158BD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14:paraId="20260B2D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EF4161">
        <w:rPr>
          <w:rFonts w:ascii="Arial Narrow" w:hAnsi="Arial Narrow" w:cstheme="minorHAnsi"/>
          <w:b/>
          <w:sz w:val="20"/>
          <w:szCs w:val="20"/>
        </w:rPr>
        <w:t>Nem illeti meg a Fogyasztót Felmondási jog:</w:t>
      </w:r>
    </w:p>
    <w:p w14:paraId="6E877FE2" w14:textId="77777777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a szerződésnek mindkét fél általi teljes körű teljesítését követően, amennyiben ez a Fogyasztó kifejezett kérése alapján történt.</w:t>
      </w:r>
    </w:p>
    <w:p w14:paraId="5F41E654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E2E0DA3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EF4161">
        <w:rPr>
          <w:rFonts w:ascii="Arial Narrow" w:hAnsi="Arial Narrow" w:cstheme="minorHAnsi"/>
          <w:b/>
          <w:sz w:val="20"/>
          <w:szCs w:val="20"/>
        </w:rPr>
        <w:t>A Felmondási jog különleges esetei:</w:t>
      </w:r>
    </w:p>
    <w:p w14:paraId="47CE2059" w14:textId="114808B9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Ha a Fogyasztó a Távértékesítési Tájékoztatót a </w:t>
      </w:r>
      <w:r w:rsidR="00AB61AD" w:rsidRPr="00EF4161">
        <w:rPr>
          <w:rFonts w:ascii="Arial Narrow" w:hAnsi="Arial Narrow" w:cstheme="minorHAnsi"/>
          <w:sz w:val="20"/>
          <w:szCs w:val="20"/>
        </w:rPr>
        <w:t>csatlakozási nyilatkozat megtételét</w:t>
      </w:r>
      <w:r w:rsidR="00AB61AD" w:rsidRPr="00EF4161" w:rsidDel="00AB61AD">
        <w:rPr>
          <w:rFonts w:ascii="Arial Narrow" w:hAnsi="Arial Narrow" w:cstheme="minorHAnsi"/>
          <w:sz w:val="20"/>
          <w:szCs w:val="20"/>
        </w:rPr>
        <w:t xml:space="preserve"> </w:t>
      </w:r>
      <w:r w:rsidRPr="00EF4161">
        <w:rPr>
          <w:rFonts w:ascii="Arial Narrow" w:hAnsi="Arial Narrow" w:cstheme="minorHAnsi"/>
          <w:sz w:val="20"/>
          <w:szCs w:val="20"/>
        </w:rPr>
        <w:t xml:space="preserve">követően kapja kézhez, Felmondási jogát a </w:t>
      </w:r>
      <w:r w:rsidR="00AB61AD" w:rsidRPr="00EF4161">
        <w:rPr>
          <w:rFonts w:ascii="Arial Narrow" w:hAnsi="Arial Narrow" w:cstheme="minorHAnsi"/>
          <w:sz w:val="20"/>
          <w:szCs w:val="20"/>
        </w:rPr>
        <w:t>csatlakozási nyilatkozat megtételének</w:t>
      </w:r>
      <w:r w:rsidRPr="00EF4161">
        <w:rPr>
          <w:rFonts w:ascii="Arial Narrow" w:hAnsi="Arial Narrow" w:cstheme="minorHAnsi"/>
          <w:sz w:val="20"/>
          <w:szCs w:val="20"/>
        </w:rPr>
        <w:t xml:space="preserve"> napjától kezdődően a Távértékesítési Tájékoztató kézhezvételétől számított 14. nap elteltéig gyakorolhatja.</w:t>
      </w:r>
      <w:r w:rsidR="00AB61AD" w:rsidRPr="00EF4161">
        <w:rPr>
          <w:rFonts w:ascii="Arial Narrow" w:hAnsi="Arial Narrow" w:cstheme="minorHAnsi"/>
          <w:sz w:val="20"/>
          <w:szCs w:val="20"/>
        </w:rPr>
        <w:t xml:space="preserve"> </w:t>
      </w:r>
    </w:p>
    <w:p w14:paraId="49BBD32B" w14:textId="1D74DCB3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Ha a Biztosító a Fogyasztó részére semmiféle tájékoztatást nem nyújtott, a Fogyasztó a Felmondási jogát a </w:t>
      </w:r>
      <w:r w:rsidR="00857C4E" w:rsidRPr="00EF4161">
        <w:rPr>
          <w:rFonts w:ascii="Arial Narrow" w:hAnsi="Arial Narrow" w:cstheme="minorHAnsi"/>
          <w:sz w:val="20"/>
          <w:szCs w:val="20"/>
        </w:rPr>
        <w:t xml:space="preserve">csatlakozási nyilatkozat megtételének </w:t>
      </w:r>
      <w:r w:rsidRPr="00EF4161">
        <w:rPr>
          <w:rFonts w:ascii="Arial Narrow" w:hAnsi="Arial Narrow" w:cstheme="minorHAnsi"/>
          <w:sz w:val="20"/>
          <w:szCs w:val="20"/>
        </w:rPr>
        <w:t xml:space="preserve">napjától kezdődően a Távértékesítési Törvénynek megfelelő tájékoztatás kézhezvételétől számított 14. nap, de legfeljebb a </w:t>
      </w:r>
      <w:r w:rsidR="00857C4E" w:rsidRPr="00EF4161">
        <w:rPr>
          <w:rFonts w:ascii="Arial Narrow" w:hAnsi="Arial Narrow" w:cstheme="minorHAnsi"/>
          <w:sz w:val="20"/>
          <w:szCs w:val="20"/>
        </w:rPr>
        <w:t xml:space="preserve">csatlakozási nyilatkozat megtételének </w:t>
      </w:r>
      <w:r w:rsidRPr="00EF4161">
        <w:rPr>
          <w:rFonts w:ascii="Arial Narrow" w:hAnsi="Arial Narrow" w:cstheme="minorHAnsi"/>
          <w:sz w:val="20"/>
          <w:szCs w:val="20"/>
        </w:rPr>
        <w:t>napjától számított 1 éves jogvesztő határidő elteltéig gyakorolhatja.</w:t>
      </w:r>
      <w:r w:rsidR="00857C4E" w:rsidRPr="00EF4161">
        <w:rPr>
          <w:rFonts w:ascii="Arial Narrow" w:hAnsi="Arial Narrow" w:cstheme="minorHAnsi"/>
          <w:sz w:val="20"/>
          <w:szCs w:val="20"/>
        </w:rPr>
        <w:t xml:space="preserve"> </w:t>
      </w:r>
    </w:p>
    <w:p w14:paraId="45A0F47C" w14:textId="64D3EAC5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Ha a Biztosító által nyújtott tájékoztatás nem volt megfelelő </w:t>
      </w:r>
      <w:proofErr w:type="spellStart"/>
      <w:r w:rsidRPr="00EF4161">
        <w:rPr>
          <w:rFonts w:ascii="Arial Narrow" w:hAnsi="Arial Narrow" w:cstheme="minorHAnsi"/>
          <w:sz w:val="20"/>
          <w:szCs w:val="20"/>
        </w:rPr>
        <w:t>tartalmú</w:t>
      </w:r>
      <w:proofErr w:type="spellEnd"/>
      <w:r w:rsidRPr="00EF4161">
        <w:rPr>
          <w:rFonts w:ascii="Arial Narrow" w:hAnsi="Arial Narrow" w:cstheme="minorHAnsi"/>
          <w:sz w:val="20"/>
          <w:szCs w:val="20"/>
        </w:rPr>
        <w:t xml:space="preserve">, a Fogyasztó a Felmondási jogát a </w:t>
      </w:r>
      <w:r w:rsidR="00857C4E" w:rsidRPr="00EF4161">
        <w:rPr>
          <w:rFonts w:ascii="Arial Narrow" w:hAnsi="Arial Narrow" w:cstheme="minorHAnsi"/>
          <w:sz w:val="20"/>
          <w:szCs w:val="20"/>
        </w:rPr>
        <w:t xml:space="preserve">csatlakozási nyilatkozat megtételének </w:t>
      </w:r>
      <w:r w:rsidRPr="00EF4161">
        <w:rPr>
          <w:rFonts w:ascii="Arial Narrow" w:hAnsi="Arial Narrow" w:cstheme="minorHAnsi"/>
          <w:sz w:val="20"/>
          <w:szCs w:val="20"/>
        </w:rPr>
        <w:t xml:space="preserve">napjától kezdődően a Távértékesítési Törvénynek megfelelő tájékoztatás kézhezvételétől számított 14. nap, de legfeljebb a </w:t>
      </w:r>
      <w:r w:rsidR="00857C4E" w:rsidRPr="00EF4161">
        <w:rPr>
          <w:rFonts w:ascii="Arial Narrow" w:hAnsi="Arial Narrow" w:cstheme="minorHAnsi"/>
          <w:sz w:val="20"/>
          <w:szCs w:val="20"/>
        </w:rPr>
        <w:t xml:space="preserve">csatlakozási nyilatkozat megtételének </w:t>
      </w:r>
      <w:r w:rsidRPr="00EF4161">
        <w:rPr>
          <w:rFonts w:ascii="Arial Narrow" w:hAnsi="Arial Narrow" w:cstheme="minorHAnsi"/>
          <w:sz w:val="20"/>
          <w:szCs w:val="20"/>
        </w:rPr>
        <w:t>napjától számított 3 hónapos jogvesztő határidő elteltéig gyakorolhatja.</w:t>
      </w:r>
      <w:r w:rsidR="00857C4E" w:rsidRPr="00EF4161">
        <w:rPr>
          <w:rFonts w:ascii="Arial Narrow" w:hAnsi="Arial Narrow" w:cstheme="minorHAnsi"/>
          <w:sz w:val="20"/>
          <w:szCs w:val="20"/>
        </w:rPr>
        <w:t xml:space="preserve"> </w:t>
      </w:r>
    </w:p>
    <w:p w14:paraId="4AD0070C" w14:textId="30E2793C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Ha a Fogyasztó a Távértékesítési Törvényben meghatározott Felmondási jogra vonatkozó tájékoztatást nem kapott, Felmondási jogát a </w:t>
      </w:r>
      <w:r w:rsidR="00857C4E" w:rsidRPr="00EF4161">
        <w:rPr>
          <w:rFonts w:ascii="Arial Narrow" w:hAnsi="Arial Narrow" w:cstheme="minorHAnsi"/>
          <w:sz w:val="20"/>
          <w:szCs w:val="20"/>
        </w:rPr>
        <w:t xml:space="preserve">csatlakozási nyilatkozat megtételének </w:t>
      </w:r>
      <w:r w:rsidRPr="00EF4161">
        <w:rPr>
          <w:rFonts w:ascii="Arial Narrow" w:hAnsi="Arial Narrow" w:cstheme="minorHAnsi"/>
          <w:sz w:val="20"/>
          <w:szCs w:val="20"/>
        </w:rPr>
        <w:t>napjától kezdődően a Távértékesítési Törvénynek megfelelő tájékoztatás kézhezvételétől számított 14. nap, de legfeljebb a szerződéskötés napjától számított 1 éves jogvesztő határidő elteltéig gyakorolhatja.</w:t>
      </w:r>
    </w:p>
    <w:p w14:paraId="29AB3492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80C9D62" w14:textId="77777777" w:rsidR="00994506" w:rsidRPr="00EF4161" w:rsidRDefault="00994506" w:rsidP="00994506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EF4161">
        <w:rPr>
          <w:rFonts w:ascii="Arial Narrow" w:hAnsi="Arial Narrow" w:cstheme="minorHAnsi"/>
          <w:b/>
          <w:sz w:val="20"/>
          <w:szCs w:val="20"/>
        </w:rPr>
        <w:t>A Felmondásra nyitva álló határidő lejárta előtt a szerződés teljesítése csak a Fogyasztó kifejezett hozzájárulását követően kezdhető meg. A Fogyasztó tudomásul veszi, hogy a biztosítási esemény bejelentése a szerződés teljesítésére vonatkozó kifejezett hozzájárulásának minősül.</w:t>
      </w:r>
    </w:p>
    <w:p w14:paraId="06FE7200" w14:textId="6836032F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 xml:space="preserve">Ha a Fogyasztó a Felmondási jogát gyakorolta, a Biztosító kizárólag a ténylegesen teljesített szolgáltatás arányos ellenértékét jogosult követelni. A Fogyasztó által fizetendő összeg nem haladhatja meg a már teljesített szolgáltatásért – a szerződésben meghatározott szolgáltatás egészéhez viszonyítottan – arányosan járó összeget, és nem lehet olyan mértékű, hogy szankciónak minősüljön. A </w:t>
      </w:r>
      <w:r w:rsidR="00B9670E" w:rsidRPr="00EF4161">
        <w:rPr>
          <w:rFonts w:ascii="Arial Narrow" w:hAnsi="Arial Narrow" w:cstheme="minorHAnsi"/>
          <w:sz w:val="20"/>
          <w:szCs w:val="20"/>
        </w:rPr>
        <w:t>biztosítási jogviszonnyal</w:t>
      </w:r>
      <w:r w:rsidRPr="00EF4161">
        <w:rPr>
          <w:rFonts w:ascii="Arial Narrow" w:hAnsi="Arial Narrow" w:cstheme="minorHAnsi"/>
          <w:sz w:val="20"/>
          <w:szCs w:val="20"/>
        </w:rPr>
        <w:t xml:space="preserve"> kapcsolatos szolgáltatások ellenértéke megtéríttetésének is csak a ténylegesen teljesített egyéb, a </w:t>
      </w:r>
      <w:r w:rsidR="00B9670E" w:rsidRPr="00EF4161">
        <w:rPr>
          <w:rFonts w:ascii="Arial Narrow" w:hAnsi="Arial Narrow" w:cstheme="minorHAnsi"/>
          <w:sz w:val="20"/>
          <w:szCs w:val="20"/>
        </w:rPr>
        <w:t xml:space="preserve">biztosítás </w:t>
      </w:r>
      <w:r w:rsidRPr="00EF4161">
        <w:rPr>
          <w:rFonts w:ascii="Arial Narrow" w:hAnsi="Arial Narrow" w:cstheme="minorHAnsi"/>
          <w:sz w:val="20"/>
          <w:szCs w:val="20"/>
        </w:rPr>
        <w:t>tárgyát képező szolgáltatással arányos mértékben van helye. A Biztosító csak abban az esetben jogosult ezen összeg követelésére, ha igazolja, hogy a Fogyasztó részére a Távértékesítési Törvényben meghatározott Felmondási jogra vonatkozó tájékoztatást megadta.</w:t>
      </w:r>
    </w:p>
    <w:p w14:paraId="6A6822B8" w14:textId="77777777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Ha a Felmondásra nyitva álló határidő a fenti bekezdések alapján meghosszabbodott, a Biztosító a meghosszabbítás időtartama alatt, azaz a törvénynek megfelelő tájékoztatás megadásáig teljesített szolgáltatás ellenértékét nem követelheti.</w:t>
      </w:r>
    </w:p>
    <w:p w14:paraId="3808D9F1" w14:textId="77777777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Ha a Biztosító a teljesítést a Felmondási határidő lejárta előtt a Fogyasztó előzetes hozzájárulása nélkül kezdte meg, a Fogyasztóval szemben a fenti, szolgáltatás ellenértékének követelésére sem jogosult.</w:t>
      </w:r>
    </w:p>
    <w:p w14:paraId="469DB802" w14:textId="77777777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A Biztosító köteles a Fogyasztó által fizetett pénzösszeget – a fenti, szolgáltatás ellenértékének összegének kivételével – a Felmondásról szóló nyilatkozat kézhezvételét követően haladéktalanul, de legkésőbb 30 napon belül visszatéríteni.</w:t>
      </w:r>
    </w:p>
    <w:p w14:paraId="2BA90D2E" w14:textId="77777777" w:rsidR="00994506" w:rsidRPr="00EF4161" w:rsidRDefault="00994506" w:rsidP="00994506">
      <w:pPr>
        <w:pStyle w:val="Listaszerbekezds"/>
        <w:numPr>
          <w:ilvl w:val="0"/>
          <w:numId w:val="2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Fogyasztó köteles a Biztosító által kifizetett pénzösszeget a Felmondásról szóló nyilatkozatának elküldését követően haladéktalanul, de legkésőbb 30 napon belül visszatéríteni.</w:t>
      </w:r>
    </w:p>
    <w:p w14:paraId="37F02DD7" w14:textId="0609ED85" w:rsidR="00994506" w:rsidRPr="00EF4161" w:rsidRDefault="00994506" w:rsidP="009945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984FFB7" w14:textId="77777777" w:rsidR="00BB39B0" w:rsidRPr="00EF4161" w:rsidRDefault="00BB39B0" w:rsidP="00BB39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E52C9EC" w14:textId="77777777" w:rsidR="00BB39B0" w:rsidRPr="00EF4161" w:rsidRDefault="00BB39B0" w:rsidP="00BB39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EF4161">
        <w:rPr>
          <w:rFonts w:ascii="Arial Narrow" w:hAnsi="Arial Narrow" w:cstheme="minorHAnsi"/>
          <w:sz w:val="20"/>
          <w:szCs w:val="20"/>
        </w:rPr>
        <w:t>Amennyiben a biztosítási szerződésével kapcsolatban bármilyen jellegű kérdése van, központi ügyfélszolgálatunk munkatársai készséggel állnak rendelkezésére.</w:t>
      </w:r>
    </w:p>
    <w:p w14:paraId="7C892492" w14:textId="77777777" w:rsidR="00994506" w:rsidRPr="00EF4161" w:rsidRDefault="00994506" w:rsidP="00994506">
      <w:pPr>
        <w:pStyle w:val="Szvegtrzs"/>
        <w:jc w:val="both"/>
        <w:rPr>
          <w:rFonts w:ascii="Arial Narrow" w:hAnsi="Arial Narrow" w:cstheme="minorHAnsi"/>
          <w:sz w:val="20"/>
          <w:szCs w:val="20"/>
        </w:rPr>
      </w:pPr>
    </w:p>
    <w:p w14:paraId="344CFCCF" w14:textId="77777777" w:rsidR="00994506" w:rsidRPr="00EF4161" w:rsidRDefault="00994506" w:rsidP="00994506">
      <w:pPr>
        <w:pStyle w:val="Szvegtrzs"/>
        <w:jc w:val="both"/>
        <w:rPr>
          <w:rFonts w:ascii="Arial Narrow" w:hAnsi="Arial Narrow" w:cstheme="minorHAnsi"/>
          <w:sz w:val="20"/>
          <w:szCs w:val="20"/>
        </w:rPr>
      </w:pPr>
    </w:p>
    <w:p w14:paraId="3ACE2731" w14:textId="432E0CCC" w:rsidR="00994506" w:rsidRPr="00EF4161" w:rsidRDefault="00994506" w:rsidP="00DA6ABE">
      <w:pPr>
        <w:pStyle w:val="0-Normal-szovegtorzs"/>
        <w:spacing w:after="0" w:afterAutospacing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EF4161">
        <w:rPr>
          <w:rFonts w:ascii="Arial Narrow" w:hAnsi="Arial Narrow" w:cstheme="minorHAnsi"/>
          <w:b/>
          <w:sz w:val="20"/>
          <w:szCs w:val="20"/>
        </w:rPr>
        <w:t xml:space="preserve"> </w:t>
      </w:r>
    </w:p>
    <w:sectPr w:rsidR="00994506" w:rsidRPr="00EF4161" w:rsidSect="00994506">
      <w:headerReference w:type="default" r:id="rId15"/>
      <w:footerReference w:type="default" r:id="rId16"/>
      <w:pgSz w:w="11910" w:h="16840"/>
      <w:pgMar w:top="1418" w:right="853" w:bottom="709" w:left="851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CB0E5" w14:textId="77777777" w:rsidR="007C43CD" w:rsidRDefault="007C43CD" w:rsidP="00C13F5E">
      <w:pPr>
        <w:spacing w:after="0" w:line="240" w:lineRule="auto"/>
      </w:pPr>
      <w:r>
        <w:separator/>
      </w:r>
    </w:p>
  </w:endnote>
  <w:endnote w:type="continuationSeparator" w:id="0">
    <w:p w14:paraId="280B7776" w14:textId="77777777" w:rsidR="007C43CD" w:rsidRDefault="007C43CD" w:rsidP="00C13F5E">
      <w:pPr>
        <w:spacing w:after="0" w:line="240" w:lineRule="auto"/>
      </w:pPr>
      <w:r>
        <w:continuationSeparator/>
      </w:r>
    </w:p>
  </w:endnote>
  <w:endnote w:type="continuationNotice" w:id="1">
    <w:p w14:paraId="2CDDB8DA" w14:textId="77777777" w:rsidR="007C43CD" w:rsidRDefault="007C4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 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5F4D" w14:textId="6D582A38" w:rsidR="00B222B2" w:rsidRPr="00486ED5" w:rsidRDefault="00B222B2" w:rsidP="000F1EC1">
    <w:pPr>
      <w:pStyle w:val="Oldalszam"/>
      <w:tabs>
        <w:tab w:val="right" w:pos="10198"/>
      </w:tabs>
      <w:spacing w:before="0" w:beforeAutospacing="0" w:after="0" w:afterAutospacing="0" w:line="240" w:lineRule="auto"/>
      <w:rPr>
        <w:rFonts w:ascii="Verdana font" w:hAnsi="Verdana font"/>
        <w:szCs w:val="16"/>
      </w:rPr>
    </w:pPr>
    <w:r w:rsidRPr="005E2CF3">
      <w:rPr>
        <w:rStyle w:val="Oldalszm"/>
        <w:rFonts w:ascii="Verdana font" w:hAnsi="Verdana font"/>
        <w:szCs w:val="16"/>
      </w:rPr>
      <w:fldChar w:fldCharType="begin"/>
    </w:r>
    <w:r w:rsidRPr="005E2CF3">
      <w:rPr>
        <w:rStyle w:val="Oldalszm"/>
        <w:rFonts w:ascii="Verdana font" w:hAnsi="Verdana font"/>
        <w:szCs w:val="16"/>
      </w:rPr>
      <w:instrText xml:space="preserve"> PAGE </w:instrText>
    </w:r>
    <w:r w:rsidRPr="005E2CF3">
      <w:rPr>
        <w:rStyle w:val="Oldalszm"/>
        <w:rFonts w:ascii="Verdana font" w:hAnsi="Verdana font"/>
        <w:szCs w:val="16"/>
      </w:rPr>
      <w:fldChar w:fldCharType="separate"/>
    </w:r>
    <w:r w:rsidR="00552A72">
      <w:rPr>
        <w:rStyle w:val="Oldalszm"/>
        <w:rFonts w:ascii="Verdana font" w:hAnsi="Verdana font"/>
        <w:noProof/>
        <w:szCs w:val="16"/>
      </w:rPr>
      <w:t>2</w:t>
    </w:r>
    <w:r w:rsidRPr="005E2CF3">
      <w:rPr>
        <w:rStyle w:val="Oldalszm"/>
        <w:rFonts w:ascii="Verdana font" w:hAnsi="Verdana font"/>
        <w:szCs w:val="16"/>
      </w:rPr>
      <w:fldChar w:fldCharType="end"/>
    </w:r>
    <w:r w:rsidRPr="005E2CF3">
      <w:rPr>
        <w:rStyle w:val="Oldalszm"/>
        <w:rFonts w:ascii="Verdana font" w:hAnsi="Verdana font"/>
        <w:szCs w:val="16"/>
      </w:rPr>
      <w:t>. oldal (</w:t>
    </w:r>
    <w:r w:rsidRPr="005E2CF3">
      <w:rPr>
        <w:rStyle w:val="Oldalszm"/>
        <w:rFonts w:ascii="Verdana font" w:hAnsi="Verdana font" w:hint="eastAsia"/>
        <w:szCs w:val="16"/>
      </w:rPr>
      <w:t>ö</w:t>
    </w:r>
    <w:r w:rsidRPr="005E2CF3">
      <w:rPr>
        <w:rStyle w:val="Oldalszm"/>
        <w:rFonts w:ascii="Verdana font" w:hAnsi="Verdana font"/>
        <w:szCs w:val="16"/>
      </w:rPr>
      <w:t xml:space="preserve">sszesen: </w:t>
    </w:r>
    <w:r w:rsidRPr="005E2CF3">
      <w:rPr>
        <w:rStyle w:val="Oldalszm"/>
        <w:rFonts w:ascii="Verdana font" w:hAnsi="Verdana font"/>
        <w:szCs w:val="16"/>
      </w:rPr>
      <w:fldChar w:fldCharType="begin"/>
    </w:r>
    <w:r w:rsidRPr="005E2CF3">
      <w:rPr>
        <w:rStyle w:val="Oldalszm"/>
        <w:rFonts w:ascii="Verdana font" w:hAnsi="Verdana font"/>
        <w:szCs w:val="16"/>
      </w:rPr>
      <w:instrText xml:space="preserve"> NUMPAGES </w:instrText>
    </w:r>
    <w:r w:rsidRPr="005E2CF3">
      <w:rPr>
        <w:rStyle w:val="Oldalszm"/>
        <w:rFonts w:ascii="Verdana font" w:hAnsi="Verdana font"/>
        <w:szCs w:val="16"/>
      </w:rPr>
      <w:fldChar w:fldCharType="separate"/>
    </w:r>
    <w:r w:rsidR="00552A72">
      <w:rPr>
        <w:rStyle w:val="Oldalszm"/>
        <w:rFonts w:ascii="Verdana font" w:hAnsi="Verdana font"/>
        <w:noProof/>
        <w:szCs w:val="16"/>
      </w:rPr>
      <w:t>3</w:t>
    </w:r>
    <w:r w:rsidRPr="005E2CF3">
      <w:rPr>
        <w:rStyle w:val="Oldalszm"/>
        <w:rFonts w:ascii="Verdana font" w:hAnsi="Verdana font"/>
        <w:szCs w:val="16"/>
      </w:rPr>
      <w:fldChar w:fldCharType="end"/>
    </w:r>
    <w:r w:rsidRPr="005E2CF3">
      <w:rPr>
        <w:rStyle w:val="Oldalszm"/>
        <w:rFonts w:ascii="Verdana font" w:hAnsi="Verdana font"/>
        <w:szCs w:val="16"/>
      </w:rPr>
      <w:t xml:space="preserve"> oldal)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0BB3" w14:textId="77777777" w:rsidR="007C43CD" w:rsidRDefault="007C43CD" w:rsidP="00C13F5E">
      <w:pPr>
        <w:spacing w:after="0" w:line="240" w:lineRule="auto"/>
      </w:pPr>
      <w:r>
        <w:separator/>
      </w:r>
    </w:p>
  </w:footnote>
  <w:footnote w:type="continuationSeparator" w:id="0">
    <w:p w14:paraId="175EB9FB" w14:textId="77777777" w:rsidR="007C43CD" w:rsidRDefault="007C43CD" w:rsidP="00C13F5E">
      <w:pPr>
        <w:spacing w:after="0" w:line="240" w:lineRule="auto"/>
      </w:pPr>
      <w:r>
        <w:continuationSeparator/>
      </w:r>
    </w:p>
  </w:footnote>
  <w:footnote w:type="continuationNotice" w:id="1">
    <w:p w14:paraId="426CBFA3" w14:textId="77777777" w:rsidR="007C43CD" w:rsidRDefault="007C43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6CA8C" w14:textId="330B86FD" w:rsidR="00B222B2" w:rsidRPr="00C13F5E" w:rsidRDefault="00B222B2" w:rsidP="000F1EC1">
    <w:pPr>
      <w:pStyle w:val="Sajtokozlemeny"/>
      <w:ind w:left="993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C66D50B" wp14:editId="7453B064">
          <wp:simplePos x="0" y="0"/>
          <wp:positionH relativeFrom="margin">
            <wp:align>left</wp:align>
          </wp:positionH>
          <wp:positionV relativeFrom="paragraph">
            <wp:posOffset>9359</wp:posOffset>
          </wp:positionV>
          <wp:extent cx="2436614" cy="367534"/>
          <wp:effectExtent l="0" t="0" r="1905" b="0"/>
          <wp:wrapNone/>
          <wp:docPr id="114" name="Ábr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614" cy="367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EF48D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C543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CC9E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C508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B8F8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9A50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4002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DE424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AC499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4C1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3948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62F57"/>
    <w:multiLevelType w:val="hybridMultilevel"/>
    <w:tmpl w:val="A314D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31787"/>
    <w:multiLevelType w:val="hybridMultilevel"/>
    <w:tmpl w:val="A87C38B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9E7AA9"/>
    <w:multiLevelType w:val="hybridMultilevel"/>
    <w:tmpl w:val="CC02F9DA"/>
    <w:lvl w:ilvl="0" w:tplc="A48E4402">
      <w:start w:val="1"/>
      <w:numFmt w:val="bullet"/>
      <w:lvlText w:val=""/>
      <w:lvlJc w:val="left"/>
      <w:pPr>
        <w:ind w:left="1663" w:hanging="343"/>
      </w:pPr>
      <w:rPr>
        <w:rFonts w:ascii="Wingdings" w:hAnsi="Wingdings" w:hint="default"/>
        <w:w w:val="100"/>
        <w:sz w:val="24"/>
        <w:szCs w:val="24"/>
        <w:lang w:val="en-GB" w:eastAsia="en-US" w:bidi="ar-SA"/>
      </w:rPr>
    </w:lvl>
    <w:lvl w:ilvl="1" w:tplc="ACA81352">
      <w:numFmt w:val="bullet"/>
      <w:lvlText w:val="•"/>
      <w:lvlJc w:val="left"/>
      <w:pPr>
        <w:ind w:left="2684" w:hanging="343"/>
      </w:pPr>
      <w:rPr>
        <w:rFonts w:hint="default"/>
        <w:lang w:val="en-GB" w:eastAsia="en-US" w:bidi="ar-SA"/>
      </w:rPr>
    </w:lvl>
    <w:lvl w:ilvl="2" w:tplc="7388C298">
      <w:numFmt w:val="bullet"/>
      <w:lvlText w:val="•"/>
      <w:lvlJc w:val="left"/>
      <w:pPr>
        <w:ind w:left="3709" w:hanging="343"/>
      </w:pPr>
      <w:rPr>
        <w:rFonts w:hint="default"/>
        <w:lang w:val="en-GB" w:eastAsia="en-US" w:bidi="ar-SA"/>
      </w:rPr>
    </w:lvl>
    <w:lvl w:ilvl="3" w:tplc="E69EF85E">
      <w:numFmt w:val="bullet"/>
      <w:lvlText w:val="•"/>
      <w:lvlJc w:val="left"/>
      <w:pPr>
        <w:ind w:left="4733" w:hanging="343"/>
      </w:pPr>
      <w:rPr>
        <w:rFonts w:hint="default"/>
        <w:lang w:val="en-GB" w:eastAsia="en-US" w:bidi="ar-SA"/>
      </w:rPr>
    </w:lvl>
    <w:lvl w:ilvl="4" w:tplc="DB20ED52">
      <w:numFmt w:val="bullet"/>
      <w:lvlText w:val="•"/>
      <w:lvlJc w:val="left"/>
      <w:pPr>
        <w:ind w:left="5758" w:hanging="343"/>
      </w:pPr>
      <w:rPr>
        <w:rFonts w:hint="default"/>
        <w:lang w:val="en-GB" w:eastAsia="en-US" w:bidi="ar-SA"/>
      </w:rPr>
    </w:lvl>
    <w:lvl w:ilvl="5" w:tplc="21DC541A">
      <w:numFmt w:val="bullet"/>
      <w:lvlText w:val="•"/>
      <w:lvlJc w:val="left"/>
      <w:pPr>
        <w:ind w:left="6782" w:hanging="343"/>
      </w:pPr>
      <w:rPr>
        <w:rFonts w:hint="default"/>
        <w:lang w:val="en-GB" w:eastAsia="en-US" w:bidi="ar-SA"/>
      </w:rPr>
    </w:lvl>
    <w:lvl w:ilvl="6" w:tplc="C8E8E758">
      <w:numFmt w:val="bullet"/>
      <w:lvlText w:val="•"/>
      <w:lvlJc w:val="left"/>
      <w:pPr>
        <w:ind w:left="7807" w:hanging="343"/>
      </w:pPr>
      <w:rPr>
        <w:rFonts w:hint="default"/>
        <w:lang w:val="en-GB" w:eastAsia="en-US" w:bidi="ar-SA"/>
      </w:rPr>
    </w:lvl>
    <w:lvl w:ilvl="7" w:tplc="D8A4B11A">
      <w:numFmt w:val="bullet"/>
      <w:lvlText w:val="•"/>
      <w:lvlJc w:val="left"/>
      <w:pPr>
        <w:ind w:left="8831" w:hanging="343"/>
      </w:pPr>
      <w:rPr>
        <w:rFonts w:hint="default"/>
        <w:lang w:val="en-GB" w:eastAsia="en-US" w:bidi="ar-SA"/>
      </w:rPr>
    </w:lvl>
    <w:lvl w:ilvl="8" w:tplc="A4BC4BDA">
      <w:numFmt w:val="bullet"/>
      <w:lvlText w:val="•"/>
      <w:lvlJc w:val="left"/>
      <w:pPr>
        <w:ind w:left="9856" w:hanging="343"/>
      </w:pPr>
      <w:rPr>
        <w:rFonts w:hint="default"/>
        <w:lang w:val="en-GB" w:eastAsia="en-US" w:bidi="ar-SA"/>
      </w:rPr>
    </w:lvl>
  </w:abstractNum>
  <w:abstractNum w:abstractNumId="14" w15:restartNumberingAfterBreak="0">
    <w:nsid w:val="0C5F48BF"/>
    <w:multiLevelType w:val="hybridMultilevel"/>
    <w:tmpl w:val="318414B2"/>
    <w:lvl w:ilvl="0" w:tplc="2BC6C02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A4548"/>
    <w:multiLevelType w:val="hybridMultilevel"/>
    <w:tmpl w:val="69A8D7E2"/>
    <w:lvl w:ilvl="0" w:tplc="920EC6C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00B050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31E0DFA"/>
    <w:multiLevelType w:val="hybridMultilevel"/>
    <w:tmpl w:val="E700A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372056"/>
    <w:multiLevelType w:val="hybridMultilevel"/>
    <w:tmpl w:val="79E025E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5F3F92"/>
    <w:multiLevelType w:val="hybridMultilevel"/>
    <w:tmpl w:val="21F4FE48"/>
    <w:lvl w:ilvl="0" w:tplc="A56806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2A51B0"/>
    <w:multiLevelType w:val="hybridMultilevel"/>
    <w:tmpl w:val="0B0288D8"/>
    <w:lvl w:ilvl="0" w:tplc="25963E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02F62"/>
    <w:multiLevelType w:val="hybridMultilevel"/>
    <w:tmpl w:val="EE003C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E1165"/>
    <w:multiLevelType w:val="hybridMultilevel"/>
    <w:tmpl w:val="2AEE60FE"/>
    <w:lvl w:ilvl="0" w:tplc="5D8E6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403D0"/>
    <w:multiLevelType w:val="hybridMultilevel"/>
    <w:tmpl w:val="EC786E5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D7DCA"/>
    <w:multiLevelType w:val="multilevel"/>
    <w:tmpl w:val="5ECAB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4" w15:restartNumberingAfterBreak="0">
    <w:nsid w:val="3B351C70"/>
    <w:multiLevelType w:val="hybridMultilevel"/>
    <w:tmpl w:val="E1BEFA20"/>
    <w:lvl w:ilvl="0" w:tplc="6A2CBC72">
      <w:start w:val="1"/>
      <w:numFmt w:val="bullet"/>
      <w:lvlText w:val=""/>
      <w:lvlJc w:val="left"/>
      <w:pPr>
        <w:ind w:left="1653" w:hanging="338"/>
      </w:pPr>
      <w:rPr>
        <w:rFonts w:ascii="Wingdings" w:hAnsi="Wingdings" w:hint="default"/>
        <w:b/>
        <w:bCs/>
        <w:color w:val="ED1C24"/>
        <w:w w:val="100"/>
        <w:sz w:val="24"/>
        <w:szCs w:val="24"/>
        <w:lang w:val="en-GB" w:eastAsia="en-US" w:bidi="ar-SA"/>
      </w:rPr>
    </w:lvl>
    <w:lvl w:ilvl="1" w:tplc="3836B970">
      <w:numFmt w:val="bullet"/>
      <w:lvlText w:val="•"/>
      <w:lvlJc w:val="left"/>
      <w:pPr>
        <w:ind w:left="2103" w:hanging="338"/>
      </w:pPr>
      <w:rPr>
        <w:rFonts w:hint="default"/>
        <w:lang w:val="en-GB" w:eastAsia="en-US" w:bidi="ar-SA"/>
      </w:rPr>
    </w:lvl>
    <w:lvl w:ilvl="2" w:tplc="6D141452">
      <w:numFmt w:val="bullet"/>
      <w:lvlText w:val="•"/>
      <w:lvlJc w:val="left"/>
      <w:pPr>
        <w:ind w:left="2547" w:hanging="338"/>
      </w:pPr>
      <w:rPr>
        <w:rFonts w:hint="default"/>
        <w:lang w:val="en-GB" w:eastAsia="en-US" w:bidi="ar-SA"/>
      </w:rPr>
    </w:lvl>
    <w:lvl w:ilvl="3" w:tplc="0C0C6C14">
      <w:numFmt w:val="bullet"/>
      <w:lvlText w:val="•"/>
      <w:lvlJc w:val="left"/>
      <w:pPr>
        <w:ind w:left="2990" w:hanging="338"/>
      </w:pPr>
      <w:rPr>
        <w:rFonts w:hint="default"/>
        <w:lang w:val="en-GB" w:eastAsia="en-US" w:bidi="ar-SA"/>
      </w:rPr>
    </w:lvl>
    <w:lvl w:ilvl="4" w:tplc="DBE6A0E2">
      <w:numFmt w:val="bullet"/>
      <w:lvlText w:val="•"/>
      <w:lvlJc w:val="left"/>
      <w:pPr>
        <w:ind w:left="3434" w:hanging="338"/>
      </w:pPr>
      <w:rPr>
        <w:rFonts w:hint="default"/>
        <w:lang w:val="en-GB" w:eastAsia="en-US" w:bidi="ar-SA"/>
      </w:rPr>
    </w:lvl>
    <w:lvl w:ilvl="5" w:tplc="726C02B4">
      <w:numFmt w:val="bullet"/>
      <w:lvlText w:val="•"/>
      <w:lvlJc w:val="left"/>
      <w:pPr>
        <w:ind w:left="3877" w:hanging="338"/>
      </w:pPr>
      <w:rPr>
        <w:rFonts w:hint="default"/>
        <w:lang w:val="en-GB" w:eastAsia="en-US" w:bidi="ar-SA"/>
      </w:rPr>
    </w:lvl>
    <w:lvl w:ilvl="6" w:tplc="06B009FE">
      <w:numFmt w:val="bullet"/>
      <w:lvlText w:val="•"/>
      <w:lvlJc w:val="left"/>
      <w:pPr>
        <w:ind w:left="4321" w:hanging="338"/>
      </w:pPr>
      <w:rPr>
        <w:rFonts w:hint="default"/>
        <w:lang w:val="en-GB" w:eastAsia="en-US" w:bidi="ar-SA"/>
      </w:rPr>
    </w:lvl>
    <w:lvl w:ilvl="7" w:tplc="B15235C4">
      <w:numFmt w:val="bullet"/>
      <w:lvlText w:val="•"/>
      <w:lvlJc w:val="left"/>
      <w:pPr>
        <w:ind w:left="4764" w:hanging="338"/>
      </w:pPr>
      <w:rPr>
        <w:rFonts w:hint="default"/>
        <w:lang w:val="en-GB" w:eastAsia="en-US" w:bidi="ar-SA"/>
      </w:rPr>
    </w:lvl>
    <w:lvl w:ilvl="8" w:tplc="FAE82CA6">
      <w:numFmt w:val="bullet"/>
      <w:lvlText w:val="•"/>
      <w:lvlJc w:val="left"/>
      <w:pPr>
        <w:ind w:left="5208" w:hanging="338"/>
      </w:pPr>
      <w:rPr>
        <w:rFonts w:hint="default"/>
        <w:lang w:val="en-GB" w:eastAsia="en-US" w:bidi="ar-SA"/>
      </w:rPr>
    </w:lvl>
  </w:abstractNum>
  <w:abstractNum w:abstractNumId="25" w15:restartNumberingAfterBreak="0">
    <w:nsid w:val="428067D5"/>
    <w:multiLevelType w:val="hybridMultilevel"/>
    <w:tmpl w:val="FFC267D8"/>
    <w:lvl w:ilvl="0" w:tplc="42D67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D0D2A"/>
    <w:multiLevelType w:val="hybridMultilevel"/>
    <w:tmpl w:val="EC762B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54851"/>
    <w:multiLevelType w:val="hybridMultilevel"/>
    <w:tmpl w:val="B28C3180"/>
    <w:lvl w:ilvl="0" w:tplc="418293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71F52"/>
    <w:multiLevelType w:val="hybridMultilevel"/>
    <w:tmpl w:val="35382638"/>
    <w:lvl w:ilvl="0" w:tplc="940AED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33DFD"/>
    <w:multiLevelType w:val="hybridMultilevel"/>
    <w:tmpl w:val="B55AACD4"/>
    <w:lvl w:ilvl="0" w:tplc="E19A63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F5648"/>
    <w:multiLevelType w:val="hybridMultilevel"/>
    <w:tmpl w:val="FD8A2A2A"/>
    <w:lvl w:ilvl="0" w:tplc="18CA7F3E">
      <w:numFmt w:val="bullet"/>
      <w:lvlText w:val="•"/>
      <w:lvlJc w:val="left"/>
      <w:pPr>
        <w:ind w:left="1663" w:hanging="343"/>
      </w:pPr>
      <w:rPr>
        <w:rFonts w:ascii="Verdana" w:eastAsia="Verdana" w:hAnsi="Verdana" w:cs="Verdana" w:hint="default"/>
        <w:color w:val="auto"/>
        <w:w w:val="100"/>
        <w:sz w:val="16"/>
        <w:szCs w:val="16"/>
        <w:lang w:val="hu-HU" w:eastAsia="en-US" w:bidi="ar-SA"/>
      </w:rPr>
    </w:lvl>
    <w:lvl w:ilvl="1" w:tplc="ACA81352">
      <w:numFmt w:val="bullet"/>
      <w:lvlText w:val="•"/>
      <w:lvlJc w:val="left"/>
      <w:pPr>
        <w:ind w:left="2684" w:hanging="343"/>
      </w:pPr>
      <w:rPr>
        <w:rFonts w:hint="default"/>
        <w:lang w:val="en-GB" w:eastAsia="en-US" w:bidi="ar-SA"/>
      </w:rPr>
    </w:lvl>
    <w:lvl w:ilvl="2" w:tplc="7388C298">
      <w:numFmt w:val="bullet"/>
      <w:lvlText w:val="•"/>
      <w:lvlJc w:val="left"/>
      <w:pPr>
        <w:ind w:left="3709" w:hanging="343"/>
      </w:pPr>
      <w:rPr>
        <w:rFonts w:hint="default"/>
        <w:lang w:val="en-GB" w:eastAsia="en-US" w:bidi="ar-SA"/>
      </w:rPr>
    </w:lvl>
    <w:lvl w:ilvl="3" w:tplc="E69EF85E">
      <w:numFmt w:val="bullet"/>
      <w:lvlText w:val="•"/>
      <w:lvlJc w:val="left"/>
      <w:pPr>
        <w:ind w:left="4733" w:hanging="343"/>
      </w:pPr>
      <w:rPr>
        <w:rFonts w:hint="default"/>
        <w:lang w:val="en-GB" w:eastAsia="en-US" w:bidi="ar-SA"/>
      </w:rPr>
    </w:lvl>
    <w:lvl w:ilvl="4" w:tplc="DB20ED52">
      <w:numFmt w:val="bullet"/>
      <w:lvlText w:val="•"/>
      <w:lvlJc w:val="left"/>
      <w:pPr>
        <w:ind w:left="5758" w:hanging="343"/>
      </w:pPr>
      <w:rPr>
        <w:rFonts w:hint="default"/>
        <w:lang w:val="en-GB" w:eastAsia="en-US" w:bidi="ar-SA"/>
      </w:rPr>
    </w:lvl>
    <w:lvl w:ilvl="5" w:tplc="21DC541A">
      <w:numFmt w:val="bullet"/>
      <w:lvlText w:val="•"/>
      <w:lvlJc w:val="left"/>
      <w:pPr>
        <w:ind w:left="6782" w:hanging="343"/>
      </w:pPr>
      <w:rPr>
        <w:rFonts w:hint="default"/>
        <w:lang w:val="en-GB" w:eastAsia="en-US" w:bidi="ar-SA"/>
      </w:rPr>
    </w:lvl>
    <w:lvl w:ilvl="6" w:tplc="C8E8E758">
      <w:numFmt w:val="bullet"/>
      <w:lvlText w:val="•"/>
      <w:lvlJc w:val="left"/>
      <w:pPr>
        <w:ind w:left="7807" w:hanging="343"/>
      </w:pPr>
      <w:rPr>
        <w:rFonts w:hint="default"/>
        <w:lang w:val="en-GB" w:eastAsia="en-US" w:bidi="ar-SA"/>
      </w:rPr>
    </w:lvl>
    <w:lvl w:ilvl="7" w:tplc="D8A4B11A">
      <w:numFmt w:val="bullet"/>
      <w:lvlText w:val="•"/>
      <w:lvlJc w:val="left"/>
      <w:pPr>
        <w:ind w:left="8831" w:hanging="343"/>
      </w:pPr>
      <w:rPr>
        <w:rFonts w:hint="default"/>
        <w:lang w:val="en-GB" w:eastAsia="en-US" w:bidi="ar-SA"/>
      </w:rPr>
    </w:lvl>
    <w:lvl w:ilvl="8" w:tplc="A4BC4BDA">
      <w:numFmt w:val="bullet"/>
      <w:lvlText w:val="•"/>
      <w:lvlJc w:val="left"/>
      <w:pPr>
        <w:ind w:left="9856" w:hanging="343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30"/>
  </w:num>
  <w:num w:numId="14">
    <w:abstractNumId w:val="21"/>
  </w:num>
  <w:num w:numId="15">
    <w:abstractNumId w:val="11"/>
  </w:num>
  <w:num w:numId="16">
    <w:abstractNumId w:val="20"/>
  </w:num>
  <w:num w:numId="17">
    <w:abstractNumId w:val="18"/>
  </w:num>
  <w:num w:numId="18">
    <w:abstractNumId w:val="26"/>
  </w:num>
  <w:num w:numId="19">
    <w:abstractNumId w:val="28"/>
  </w:num>
  <w:num w:numId="20">
    <w:abstractNumId w:val="23"/>
  </w:num>
  <w:num w:numId="21">
    <w:abstractNumId w:val="14"/>
  </w:num>
  <w:num w:numId="22">
    <w:abstractNumId w:val="27"/>
  </w:num>
  <w:num w:numId="23">
    <w:abstractNumId w:val="19"/>
  </w:num>
  <w:num w:numId="24">
    <w:abstractNumId w:val="12"/>
  </w:num>
  <w:num w:numId="25">
    <w:abstractNumId w:val="22"/>
  </w:num>
  <w:num w:numId="26">
    <w:abstractNumId w:val="17"/>
  </w:num>
  <w:num w:numId="27">
    <w:abstractNumId w:val="31"/>
  </w:num>
  <w:num w:numId="28">
    <w:abstractNumId w:val="24"/>
  </w:num>
  <w:num w:numId="29">
    <w:abstractNumId w:val="13"/>
  </w:num>
  <w:num w:numId="30">
    <w:abstractNumId w:val="15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2D"/>
    <w:rsid w:val="00023632"/>
    <w:rsid w:val="000357A4"/>
    <w:rsid w:val="0003713F"/>
    <w:rsid w:val="000437CD"/>
    <w:rsid w:val="00047998"/>
    <w:rsid w:val="00056CE1"/>
    <w:rsid w:val="00066863"/>
    <w:rsid w:val="0007595D"/>
    <w:rsid w:val="000772CA"/>
    <w:rsid w:val="00082DCF"/>
    <w:rsid w:val="00083D96"/>
    <w:rsid w:val="000907B1"/>
    <w:rsid w:val="00093D6E"/>
    <w:rsid w:val="000A4F8F"/>
    <w:rsid w:val="000A619B"/>
    <w:rsid w:val="000B4C97"/>
    <w:rsid w:val="000B6ADB"/>
    <w:rsid w:val="000C2EEF"/>
    <w:rsid w:val="000C3CC5"/>
    <w:rsid w:val="000C6A22"/>
    <w:rsid w:val="000D21F4"/>
    <w:rsid w:val="000D2A05"/>
    <w:rsid w:val="000E0525"/>
    <w:rsid w:val="000F03C5"/>
    <w:rsid w:val="000F1EC1"/>
    <w:rsid w:val="000F2549"/>
    <w:rsid w:val="000F3029"/>
    <w:rsid w:val="00100515"/>
    <w:rsid w:val="00123978"/>
    <w:rsid w:val="00133B9E"/>
    <w:rsid w:val="00136625"/>
    <w:rsid w:val="00137468"/>
    <w:rsid w:val="001478B1"/>
    <w:rsid w:val="00160864"/>
    <w:rsid w:val="00164123"/>
    <w:rsid w:val="00175402"/>
    <w:rsid w:val="001805A9"/>
    <w:rsid w:val="001807A0"/>
    <w:rsid w:val="00182020"/>
    <w:rsid w:val="00191C4A"/>
    <w:rsid w:val="001B13CA"/>
    <w:rsid w:val="001B683B"/>
    <w:rsid w:val="001D26B7"/>
    <w:rsid w:val="001F1831"/>
    <w:rsid w:val="001F4C29"/>
    <w:rsid w:val="00205D84"/>
    <w:rsid w:val="00206ED6"/>
    <w:rsid w:val="00207A1F"/>
    <w:rsid w:val="002168A5"/>
    <w:rsid w:val="00221212"/>
    <w:rsid w:val="00223BB1"/>
    <w:rsid w:val="00233415"/>
    <w:rsid w:val="00246DAD"/>
    <w:rsid w:val="00250CE5"/>
    <w:rsid w:val="00252E51"/>
    <w:rsid w:val="002653E9"/>
    <w:rsid w:val="00270ECE"/>
    <w:rsid w:val="00275F56"/>
    <w:rsid w:val="002763C7"/>
    <w:rsid w:val="002770AE"/>
    <w:rsid w:val="002A4C95"/>
    <w:rsid w:val="002A5A59"/>
    <w:rsid w:val="002B5C37"/>
    <w:rsid w:val="002D096D"/>
    <w:rsid w:val="002D1FC1"/>
    <w:rsid w:val="002D22F3"/>
    <w:rsid w:val="002E2B1B"/>
    <w:rsid w:val="002E4101"/>
    <w:rsid w:val="002E545E"/>
    <w:rsid w:val="002E6968"/>
    <w:rsid w:val="002F089B"/>
    <w:rsid w:val="002F4479"/>
    <w:rsid w:val="002F76F9"/>
    <w:rsid w:val="0030641A"/>
    <w:rsid w:val="003233E6"/>
    <w:rsid w:val="00326755"/>
    <w:rsid w:val="00331565"/>
    <w:rsid w:val="003456D5"/>
    <w:rsid w:val="00350785"/>
    <w:rsid w:val="003811D9"/>
    <w:rsid w:val="0038656D"/>
    <w:rsid w:val="00396425"/>
    <w:rsid w:val="003B0E73"/>
    <w:rsid w:val="003B5ED1"/>
    <w:rsid w:val="003C4422"/>
    <w:rsid w:val="003E2670"/>
    <w:rsid w:val="003F7CAF"/>
    <w:rsid w:val="00425CAF"/>
    <w:rsid w:val="004325E7"/>
    <w:rsid w:val="00466838"/>
    <w:rsid w:val="00474BDE"/>
    <w:rsid w:val="004835B1"/>
    <w:rsid w:val="00483B92"/>
    <w:rsid w:val="00485724"/>
    <w:rsid w:val="00486ED5"/>
    <w:rsid w:val="00487C0A"/>
    <w:rsid w:val="004900D7"/>
    <w:rsid w:val="004A069D"/>
    <w:rsid w:val="004B0F53"/>
    <w:rsid w:val="004C004D"/>
    <w:rsid w:val="004C0257"/>
    <w:rsid w:val="004D1897"/>
    <w:rsid w:val="004E3FD2"/>
    <w:rsid w:val="004E4052"/>
    <w:rsid w:val="004E5873"/>
    <w:rsid w:val="004E60FC"/>
    <w:rsid w:val="004F1950"/>
    <w:rsid w:val="004F564D"/>
    <w:rsid w:val="004F6C6F"/>
    <w:rsid w:val="0050234E"/>
    <w:rsid w:val="00503422"/>
    <w:rsid w:val="0051158D"/>
    <w:rsid w:val="00515FE9"/>
    <w:rsid w:val="005260D1"/>
    <w:rsid w:val="005264E1"/>
    <w:rsid w:val="00531753"/>
    <w:rsid w:val="00542478"/>
    <w:rsid w:val="00543C08"/>
    <w:rsid w:val="0054757A"/>
    <w:rsid w:val="00551178"/>
    <w:rsid w:val="00552A72"/>
    <w:rsid w:val="00552E33"/>
    <w:rsid w:val="005531F5"/>
    <w:rsid w:val="005554BA"/>
    <w:rsid w:val="00561B08"/>
    <w:rsid w:val="00563619"/>
    <w:rsid w:val="005666C2"/>
    <w:rsid w:val="00570C06"/>
    <w:rsid w:val="005833DB"/>
    <w:rsid w:val="00585E77"/>
    <w:rsid w:val="00586C2D"/>
    <w:rsid w:val="005930DF"/>
    <w:rsid w:val="005B69F9"/>
    <w:rsid w:val="005C0D6F"/>
    <w:rsid w:val="005E22E0"/>
    <w:rsid w:val="005F2CC2"/>
    <w:rsid w:val="005F3858"/>
    <w:rsid w:val="005F6A4F"/>
    <w:rsid w:val="00601296"/>
    <w:rsid w:val="00605097"/>
    <w:rsid w:val="006132C0"/>
    <w:rsid w:val="00621E98"/>
    <w:rsid w:val="00631C8D"/>
    <w:rsid w:val="00632528"/>
    <w:rsid w:val="00632D96"/>
    <w:rsid w:val="00640445"/>
    <w:rsid w:val="006501BA"/>
    <w:rsid w:val="006632D3"/>
    <w:rsid w:val="00664AAF"/>
    <w:rsid w:val="00680F7B"/>
    <w:rsid w:val="00682709"/>
    <w:rsid w:val="00687016"/>
    <w:rsid w:val="00691CF6"/>
    <w:rsid w:val="006A532B"/>
    <w:rsid w:val="006B4A81"/>
    <w:rsid w:val="006B4C7D"/>
    <w:rsid w:val="006B7910"/>
    <w:rsid w:val="006B79D8"/>
    <w:rsid w:val="006D226C"/>
    <w:rsid w:val="006F0885"/>
    <w:rsid w:val="006F3733"/>
    <w:rsid w:val="006F71A3"/>
    <w:rsid w:val="007329D1"/>
    <w:rsid w:val="00741E6F"/>
    <w:rsid w:val="00763A51"/>
    <w:rsid w:val="007749E8"/>
    <w:rsid w:val="007912FB"/>
    <w:rsid w:val="0079182F"/>
    <w:rsid w:val="007A6FDB"/>
    <w:rsid w:val="007B0FDC"/>
    <w:rsid w:val="007C2855"/>
    <w:rsid w:val="007C43CD"/>
    <w:rsid w:val="007D4227"/>
    <w:rsid w:val="007D606C"/>
    <w:rsid w:val="007D68D5"/>
    <w:rsid w:val="007E3D30"/>
    <w:rsid w:val="007E6EEF"/>
    <w:rsid w:val="00807F69"/>
    <w:rsid w:val="00811A09"/>
    <w:rsid w:val="00821E06"/>
    <w:rsid w:val="008250A7"/>
    <w:rsid w:val="00832685"/>
    <w:rsid w:val="00835219"/>
    <w:rsid w:val="0084272F"/>
    <w:rsid w:val="00842D54"/>
    <w:rsid w:val="00853FF8"/>
    <w:rsid w:val="00857C4E"/>
    <w:rsid w:val="00861AA6"/>
    <w:rsid w:val="00865158"/>
    <w:rsid w:val="00867934"/>
    <w:rsid w:val="00873ACF"/>
    <w:rsid w:val="00885CF1"/>
    <w:rsid w:val="00895EBF"/>
    <w:rsid w:val="008A0A74"/>
    <w:rsid w:val="008A3EAD"/>
    <w:rsid w:val="008C4478"/>
    <w:rsid w:val="008C59E2"/>
    <w:rsid w:val="008C79F9"/>
    <w:rsid w:val="008D4148"/>
    <w:rsid w:val="008E38DC"/>
    <w:rsid w:val="008F7FD8"/>
    <w:rsid w:val="00900BDC"/>
    <w:rsid w:val="00910BA7"/>
    <w:rsid w:val="00914944"/>
    <w:rsid w:val="00914EE8"/>
    <w:rsid w:val="00921884"/>
    <w:rsid w:val="00921D14"/>
    <w:rsid w:val="00933B64"/>
    <w:rsid w:val="009353A4"/>
    <w:rsid w:val="00946257"/>
    <w:rsid w:val="00950C50"/>
    <w:rsid w:val="0095181B"/>
    <w:rsid w:val="0095250F"/>
    <w:rsid w:val="00963AB6"/>
    <w:rsid w:val="00967AA7"/>
    <w:rsid w:val="00977518"/>
    <w:rsid w:val="00990912"/>
    <w:rsid w:val="00993ACD"/>
    <w:rsid w:val="00994506"/>
    <w:rsid w:val="00994561"/>
    <w:rsid w:val="009954A0"/>
    <w:rsid w:val="009A0208"/>
    <w:rsid w:val="009C6ED1"/>
    <w:rsid w:val="009F313B"/>
    <w:rsid w:val="00A02377"/>
    <w:rsid w:val="00A16A1B"/>
    <w:rsid w:val="00A17886"/>
    <w:rsid w:val="00A23222"/>
    <w:rsid w:val="00A26C58"/>
    <w:rsid w:val="00A26DD1"/>
    <w:rsid w:val="00A27968"/>
    <w:rsid w:val="00A3515D"/>
    <w:rsid w:val="00A35F9B"/>
    <w:rsid w:val="00A406CB"/>
    <w:rsid w:val="00A50BF4"/>
    <w:rsid w:val="00A54480"/>
    <w:rsid w:val="00A60461"/>
    <w:rsid w:val="00A676BD"/>
    <w:rsid w:val="00A748E2"/>
    <w:rsid w:val="00A90BE1"/>
    <w:rsid w:val="00A941A1"/>
    <w:rsid w:val="00AB61AD"/>
    <w:rsid w:val="00AD544D"/>
    <w:rsid w:val="00AE0B1B"/>
    <w:rsid w:val="00AE3618"/>
    <w:rsid w:val="00AF23EE"/>
    <w:rsid w:val="00AF2E0E"/>
    <w:rsid w:val="00B0260F"/>
    <w:rsid w:val="00B16092"/>
    <w:rsid w:val="00B222B2"/>
    <w:rsid w:val="00B27946"/>
    <w:rsid w:val="00B304D0"/>
    <w:rsid w:val="00B36861"/>
    <w:rsid w:val="00B41FC7"/>
    <w:rsid w:val="00B4440A"/>
    <w:rsid w:val="00B66AFC"/>
    <w:rsid w:val="00B67391"/>
    <w:rsid w:val="00B77448"/>
    <w:rsid w:val="00B83CFE"/>
    <w:rsid w:val="00B87E07"/>
    <w:rsid w:val="00B954C9"/>
    <w:rsid w:val="00B9670E"/>
    <w:rsid w:val="00BA4239"/>
    <w:rsid w:val="00BA63D4"/>
    <w:rsid w:val="00BA719B"/>
    <w:rsid w:val="00BB1FB6"/>
    <w:rsid w:val="00BB32DB"/>
    <w:rsid w:val="00BB39B0"/>
    <w:rsid w:val="00BC131D"/>
    <w:rsid w:val="00BC62F9"/>
    <w:rsid w:val="00BD2FD7"/>
    <w:rsid w:val="00BE3A76"/>
    <w:rsid w:val="00BE51B1"/>
    <w:rsid w:val="00C07B52"/>
    <w:rsid w:val="00C11D85"/>
    <w:rsid w:val="00C13F5E"/>
    <w:rsid w:val="00C16ED2"/>
    <w:rsid w:val="00C17475"/>
    <w:rsid w:val="00C20DA0"/>
    <w:rsid w:val="00C22F6B"/>
    <w:rsid w:val="00C24B96"/>
    <w:rsid w:val="00C35BF9"/>
    <w:rsid w:val="00C374BA"/>
    <w:rsid w:val="00C4663C"/>
    <w:rsid w:val="00C56EBE"/>
    <w:rsid w:val="00C736E8"/>
    <w:rsid w:val="00C73F7E"/>
    <w:rsid w:val="00C75010"/>
    <w:rsid w:val="00C9350D"/>
    <w:rsid w:val="00CB7453"/>
    <w:rsid w:val="00CD6BD3"/>
    <w:rsid w:val="00CD7CD4"/>
    <w:rsid w:val="00CE2A79"/>
    <w:rsid w:val="00D03CDE"/>
    <w:rsid w:val="00D10DB5"/>
    <w:rsid w:val="00D128C9"/>
    <w:rsid w:val="00D23027"/>
    <w:rsid w:val="00D32FFF"/>
    <w:rsid w:val="00D36418"/>
    <w:rsid w:val="00D37E0C"/>
    <w:rsid w:val="00D45287"/>
    <w:rsid w:val="00D606AC"/>
    <w:rsid w:val="00D64DF4"/>
    <w:rsid w:val="00D651DB"/>
    <w:rsid w:val="00D72705"/>
    <w:rsid w:val="00D96155"/>
    <w:rsid w:val="00DA49A6"/>
    <w:rsid w:val="00DA6ABE"/>
    <w:rsid w:val="00DA70B8"/>
    <w:rsid w:val="00DB096C"/>
    <w:rsid w:val="00DB63D6"/>
    <w:rsid w:val="00DC1A4D"/>
    <w:rsid w:val="00DC1BC5"/>
    <w:rsid w:val="00DC1D8C"/>
    <w:rsid w:val="00DC763C"/>
    <w:rsid w:val="00DC7712"/>
    <w:rsid w:val="00DD0672"/>
    <w:rsid w:val="00DE76FF"/>
    <w:rsid w:val="00DF3654"/>
    <w:rsid w:val="00E03B0F"/>
    <w:rsid w:val="00E1336E"/>
    <w:rsid w:val="00E14E41"/>
    <w:rsid w:val="00E20227"/>
    <w:rsid w:val="00E232E5"/>
    <w:rsid w:val="00E43B92"/>
    <w:rsid w:val="00E46B4A"/>
    <w:rsid w:val="00E624C4"/>
    <w:rsid w:val="00E63981"/>
    <w:rsid w:val="00E6721A"/>
    <w:rsid w:val="00E73C85"/>
    <w:rsid w:val="00E8212A"/>
    <w:rsid w:val="00E83A68"/>
    <w:rsid w:val="00E90ACF"/>
    <w:rsid w:val="00E9632F"/>
    <w:rsid w:val="00EB7D27"/>
    <w:rsid w:val="00EE0934"/>
    <w:rsid w:val="00EE5B0F"/>
    <w:rsid w:val="00EF1E2C"/>
    <w:rsid w:val="00EF4161"/>
    <w:rsid w:val="00EF72DD"/>
    <w:rsid w:val="00F04DF8"/>
    <w:rsid w:val="00F0545A"/>
    <w:rsid w:val="00F42EB2"/>
    <w:rsid w:val="00F70478"/>
    <w:rsid w:val="00F71206"/>
    <w:rsid w:val="00F744DA"/>
    <w:rsid w:val="00F7612C"/>
    <w:rsid w:val="00F8032B"/>
    <w:rsid w:val="00F80DE0"/>
    <w:rsid w:val="00F936C6"/>
    <w:rsid w:val="00F97B9C"/>
    <w:rsid w:val="00FA3F22"/>
    <w:rsid w:val="00FA44EB"/>
    <w:rsid w:val="00FB082D"/>
    <w:rsid w:val="00FB7B84"/>
    <w:rsid w:val="00FD04C8"/>
    <w:rsid w:val="00FD0B6E"/>
    <w:rsid w:val="00FD5A91"/>
    <w:rsid w:val="00FD751F"/>
    <w:rsid w:val="00FE7049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708D"/>
  <w15:chartTrackingRefBased/>
  <w15:docId w15:val="{6B064E55-938C-4015-A885-637081C7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86C2D"/>
    <w:pPr>
      <w:spacing w:after="160" w:line="254" w:lineRule="auto"/>
    </w:pPr>
    <w:rPr>
      <w:rFonts w:asciiTheme="minorHAnsi" w:hAnsiTheme="minorHAnsi" w:cstheme="minorBidi"/>
      <w:lang w:val="hu-HU"/>
    </w:rPr>
  </w:style>
  <w:style w:type="paragraph" w:styleId="Cmsor1">
    <w:name w:val="heading 1"/>
    <w:basedOn w:val="cp-fcm"/>
    <w:next w:val="0-Normal-szovegtorzs"/>
    <w:link w:val="Cmsor1Char"/>
    <w:uiPriority w:val="9"/>
    <w:qFormat/>
    <w:rsid w:val="00E6721A"/>
    <w:pPr>
      <w:outlineLvl w:val="0"/>
    </w:pPr>
  </w:style>
  <w:style w:type="paragraph" w:styleId="Cmsor2">
    <w:name w:val="heading 2"/>
    <w:basedOn w:val="cp-alcm"/>
    <w:next w:val="0-Normal-szovegtorzs"/>
    <w:link w:val="Cmsor2Char"/>
    <w:uiPriority w:val="9"/>
    <w:unhideWhenUsed/>
    <w:qFormat/>
    <w:rsid w:val="004F1950"/>
    <w:pPr>
      <w:spacing w:before="400"/>
      <w:outlineLvl w:val="1"/>
    </w:pPr>
    <w:rPr>
      <w:spacing w:val="15"/>
      <w:szCs w:val="24"/>
    </w:rPr>
  </w:style>
  <w:style w:type="paragraph" w:styleId="Cmsor3">
    <w:name w:val="heading 3"/>
    <w:basedOn w:val="0-Normal-szovegtorzs"/>
    <w:next w:val="0-Normal-szovegtorzs"/>
    <w:link w:val="Cmsor3Char"/>
    <w:uiPriority w:val="9"/>
    <w:unhideWhenUsed/>
    <w:qFormat/>
    <w:rsid w:val="002F76F9"/>
    <w:pPr>
      <w:spacing w:before="300"/>
      <w:outlineLvl w:val="2"/>
    </w:pPr>
    <w:rPr>
      <w:b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6B"/>
    <w:pPr>
      <w:pBdr>
        <w:bottom w:val="dotted" w:sz="4" w:space="1" w:color="A0AB44" w:themeColor="accent2" w:themeShade="BF"/>
      </w:pBdr>
      <w:spacing w:after="120"/>
      <w:jc w:val="center"/>
      <w:outlineLvl w:val="3"/>
    </w:pPr>
    <w:rPr>
      <w:caps/>
      <w:color w:val="6A722D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22F6B"/>
    <w:pPr>
      <w:spacing w:before="320" w:after="120"/>
      <w:jc w:val="center"/>
      <w:outlineLvl w:val="4"/>
    </w:pPr>
    <w:rPr>
      <w:caps/>
      <w:color w:val="6A722D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22F6B"/>
    <w:pPr>
      <w:spacing w:after="120"/>
      <w:jc w:val="center"/>
      <w:outlineLvl w:val="5"/>
    </w:pPr>
    <w:rPr>
      <w:caps/>
      <w:color w:val="A0AB4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22F6B"/>
    <w:pPr>
      <w:spacing w:after="120"/>
      <w:jc w:val="center"/>
      <w:outlineLvl w:val="6"/>
    </w:pPr>
    <w:rPr>
      <w:i/>
      <w:iCs/>
      <w:caps/>
      <w:color w:val="A0AB4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22F6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22F6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ad">
    <w:name w:val="lead"/>
    <w:basedOn w:val="0-Normal-szovegtorzs"/>
    <w:next w:val="0-Normal-szovegtorzs"/>
    <w:qFormat/>
    <w:rsid w:val="008C59E2"/>
    <w:rPr>
      <w:rFonts w:cs="Times New Roman"/>
      <w:b/>
    </w:rPr>
  </w:style>
  <w:style w:type="paragraph" w:styleId="lfej">
    <w:name w:val="header"/>
    <w:basedOn w:val="Norml"/>
    <w:link w:val="lfejChar"/>
    <w:uiPriority w:val="99"/>
    <w:unhideWhenUsed/>
    <w:rsid w:val="008E38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38DC"/>
    <w:rPr>
      <w:rFonts w:ascii="Gill Sans MT" w:eastAsia="Times New Roman" w:hAnsi="Gill Sans MT" w:cs="Times New Roman"/>
      <w:lang w:val="hu-HU" w:eastAsia="hu-HU"/>
    </w:rPr>
  </w:style>
  <w:style w:type="character" w:styleId="Oldalszm">
    <w:name w:val="page number"/>
    <w:aliases w:val="Pannónia lábléc"/>
    <w:basedOn w:val="Bekezdsalapbettpusa"/>
    <w:unhideWhenUsed/>
    <w:rsid w:val="00E8212A"/>
  </w:style>
  <w:style w:type="paragraph" w:styleId="llb">
    <w:name w:val="footer"/>
    <w:basedOn w:val="Norml"/>
    <w:link w:val="llbChar"/>
    <w:uiPriority w:val="99"/>
    <w:unhideWhenUsed/>
    <w:rsid w:val="00C13F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3F5E"/>
    <w:rPr>
      <w:rFonts w:ascii="Gill Sans MT" w:eastAsia="Times New Roman" w:hAnsi="Gill Sans MT" w:cs="Times New Roman"/>
      <w:lang w:val="hu-HU" w:eastAsia="hu-HU"/>
    </w:rPr>
  </w:style>
  <w:style w:type="paragraph" w:styleId="NormlWeb">
    <w:name w:val="Normal (Web)"/>
    <w:basedOn w:val="Norml"/>
    <w:uiPriority w:val="99"/>
    <w:semiHidden/>
    <w:unhideWhenUsed/>
    <w:rsid w:val="00C13F5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0-Normal-szovegtorzs">
    <w:name w:val="0-Normal-szovegtorzs"/>
    <w:basedOn w:val="NormlWeb"/>
    <w:qFormat/>
    <w:rsid w:val="008C59E2"/>
    <w:pPr>
      <w:spacing w:before="0" w:beforeAutospacing="0" w:line="288" w:lineRule="auto"/>
    </w:pPr>
    <w:rPr>
      <w:rFonts w:ascii="Verdana" w:hAnsi="Verdana"/>
      <w:color w:val="000000"/>
      <w:szCs w:val="21"/>
    </w:rPr>
  </w:style>
  <w:style w:type="paragraph" w:customStyle="1" w:styleId="cp-fcm">
    <w:name w:val="cp-főcím"/>
    <w:basedOn w:val="Norml"/>
    <w:next w:val="0-Normal-szovegtorzs"/>
    <w:link w:val="cp-fcmChar"/>
    <w:rsid w:val="00CD7CD4"/>
    <w:pPr>
      <w:spacing w:before="640" w:after="240"/>
    </w:pPr>
    <w:rPr>
      <w:rFonts w:ascii="Verdana" w:hAnsi="Verdana"/>
      <w:b/>
      <w:color w:val="000000"/>
      <w:sz w:val="28"/>
      <w:szCs w:val="21"/>
    </w:rPr>
  </w:style>
  <w:style w:type="paragraph" w:customStyle="1" w:styleId="cp-alcm">
    <w:name w:val="cp-alcím"/>
    <w:basedOn w:val="NormlWeb"/>
    <w:next w:val="0-Normal-szovegtorzs"/>
    <w:rsid w:val="008C59E2"/>
    <w:pPr>
      <w:spacing w:before="480" w:beforeAutospacing="0" w:after="240" w:afterAutospacing="0" w:line="360" w:lineRule="auto"/>
    </w:pPr>
    <w:rPr>
      <w:rFonts w:ascii="Verdana" w:hAnsi="Verdana"/>
      <w:b/>
      <w:color w:val="000000"/>
      <w:sz w:val="24"/>
      <w:szCs w:val="21"/>
    </w:rPr>
  </w:style>
  <w:style w:type="character" w:styleId="Hiperhivatkozs">
    <w:name w:val="Hyperlink"/>
    <w:basedOn w:val="Bekezdsalapbettpusa"/>
    <w:uiPriority w:val="99"/>
    <w:unhideWhenUsed/>
    <w:rsid w:val="002F4479"/>
    <w:rPr>
      <w:color w:val="9AAA21" w:themeColor="hyperlink"/>
      <w:u w:val="single"/>
    </w:rPr>
  </w:style>
  <w:style w:type="paragraph" w:styleId="Nincstrkz">
    <w:name w:val="No Spacing"/>
    <w:basedOn w:val="Norml"/>
    <w:link w:val="NincstrkzChar"/>
    <w:uiPriority w:val="1"/>
    <w:rsid w:val="00C22F6B"/>
    <w:pPr>
      <w:spacing w:after="0" w:line="240" w:lineRule="auto"/>
    </w:pPr>
  </w:style>
  <w:style w:type="paragraph" w:customStyle="1" w:styleId="Pannniallb">
    <w:name w:val="Pannónia élőláb"/>
    <w:basedOn w:val="Norml"/>
    <w:link w:val="PannniallbChar"/>
    <w:rsid w:val="00A90BE1"/>
  </w:style>
  <w:style w:type="character" w:customStyle="1" w:styleId="PannniallbChar">
    <w:name w:val="Pannónia élőláb Char"/>
    <w:basedOn w:val="Bekezdsalapbettpusa"/>
    <w:link w:val="Pannniallb"/>
    <w:rsid w:val="00A90BE1"/>
    <w:rPr>
      <w:rFonts w:ascii="Gill Sans MT" w:eastAsia="Times New Roman" w:hAnsi="Gill Sans MT" w:cs="Times New Roman"/>
      <w:lang w:val="hu-HU" w:eastAsia="hu-HU"/>
    </w:rPr>
  </w:style>
  <w:style w:type="paragraph" w:customStyle="1" w:styleId="Oldalszam">
    <w:name w:val="Oldalszam"/>
    <w:basedOn w:val="0-Normal-szovegtorzs"/>
    <w:qFormat/>
    <w:rsid w:val="00763A51"/>
    <w:pPr>
      <w:spacing w:before="100" w:beforeAutospacing="1"/>
      <w:jc w:val="center"/>
    </w:pPr>
    <w:rPr>
      <w:sz w:val="16"/>
    </w:rPr>
  </w:style>
  <w:style w:type="paragraph" w:customStyle="1" w:styleId="Link">
    <w:name w:val="Link"/>
    <w:basedOn w:val="0-Normal-szovegtorzs"/>
    <w:next w:val="0-Normal-szovegtorzs"/>
    <w:qFormat/>
    <w:rsid w:val="002F4479"/>
    <w:rPr>
      <w:color w:val="9AAA2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F4479"/>
    <w:rPr>
      <w:color w:val="D1D3D4" w:themeColor="followedHyperlink"/>
      <w:u w:val="single"/>
    </w:rPr>
  </w:style>
  <w:style w:type="paragraph" w:customStyle="1" w:styleId="Pannniaszvegtest">
    <w:name w:val="Pannónia szövegtest"/>
    <w:basedOn w:val="Norml"/>
    <w:link w:val="PannniaszvegtestChar"/>
    <w:rsid w:val="00F97B9C"/>
    <w:pPr>
      <w:tabs>
        <w:tab w:val="center" w:pos="4500"/>
      </w:tabs>
      <w:spacing w:after="120" w:line="276" w:lineRule="auto"/>
      <w:jc w:val="both"/>
    </w:pPr>
  </w:style>
  <w:style w:type="character" w:customStyle="1" w:styleId="PannniaszvegtestChar">
    <w:name w:val="Pannónia szövegtest Char"/>
    <w:basedOn w:val="Bekezdsalapbettpusa"/>
    <w:link w:val="Pannniaszvegtest"/>
    <w:rsid w:val="00F97B9C"/>
    <w:rPr>
      <w:rFonts w:ascii="Gill Sans MT" w:eastAsia="Times New Roman" w:hAnsi="Gill Sans MT" w:cs="Times New Roman"/>
      <w:lang w:val="hu-HU" w:eastAsia="hu-HU"/>
    </w:rPr>
  </w:style>
  <w:style w:type="paragraph" w:customStyle="1" w:styleId="Tablazatbalra">
    <w:name w:val="Tablazat_balra"/>
    <w:basedOn w:val="Pannniaszvegtest"/>
    <w:qFormat/>
    <w:rsid w:val="00F97B9C"/>
    <w:pPr>
      <w:tabs>
        <w:tab w:val="clear" w:pos="4500"/>
      </w:tabs>
      <w:jc w:val="left"/>
    </w:pPr>
    <w:rPr>
      <w:rFonts w:ascii="Verdana" w:hAnsi="Verdana"/>
      <w:sz w:val="20"/>
    </w:rPr>
  </w:style>
  <w:style w:type="character" w:customStyle="1" w:styleId="Cmsor1Char">
    <w:name w:val="Címsor 1 Char"/>
    <w:basedOn w:val="Bekezdsalapbettpusa"/>
    <w:link w:val="Cmsor1"/>
    <w:uiPriority w:val="9"/>
    <w:rsid w:val="00E6721A"/>
    <w:rPr>
      <w:rFonts w:ascii="Verdana" w:hAnsi="Verdana"/>
      <w:b/>
      <w:color w:val="000000"/>
      <w:sz w:val="28"/>
      <w:szCs w:val="21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4F1950"/>
    <w:rPr>
      <w:rFonts w:ascii="Verdana" w:eastAsiaTheme="minorHAnsi" w:hAnsi="Verdana"/>
      <w:b/>
      <w:color w:val="000000"/>
      <w:spacing w:val="15"/>
      <w:sz w:val="24"/>
      <w:szCs w:val="24"/>
      <w:lang w:val="hu-HU" w:eastAsia="en-GB"/>
    </w:rPr>
  </w:style>
  <w:style w:type="character" w:customStyle="1" w:styleId="Cmsor3Char">
    <w:name w:val="Címsor 3 Char"/>
    <w:basedOn w:val="Bekezdsalapbettpusa"/>
    <w:link w:val="Cmsor3"/>
    <w:uiPriority w:val="9"/>
    <w:rsid w:val="002F76F9"/>
    <w:rPr>
      <w:rFonts w:ascii="Verdana" w:eastAsiaTheme="minorHAnsi" w:hAnsi="Verdana"/>
      <w:b/>
      <w:color w:val="000000"/>
      <w:szCs w:val="24"/>
      <w:lang w:val="hu-HU" w:eastAsia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6B"/>
    <w:rPr>
      <w:caps/>
      <w:color w:val="6A722D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22F6B"/>
    <w:rPr>
      <w:caps/>
      <w:color w:val="6A722D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22F6B"/>
    <w:rPr>
      <w:caps/>
      <w:color w:val="A0AB4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22F6B"/>
    <w:rPr>
      <w:i/>
      <w:iCs/>
      <w:caps/>
      <w:color w:val="A0AB4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22F6B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22F6B"/>
    <w:rPr>
      <w:i/>
      <w:iCs/>
      <w:caps/>
      <w:spacing w:val="1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22F6B"/>
    <w:rPr>
      <w:caps/>
      <w:spacing w:val="10"/>
      <w:sz w:val="18"/>
      <w:szCs w:val="18"/>
    </w:rPr>
  </w:style>
  <w:style w:type="paragraph" w:styleId="Cm">
    <w:name w:val="Title"/>
    <w:basedOn w:val="cp-fcm"/>
    <w:next w:val="0-Normal-szovegtorzs"/>
    <w:link w:val="CmChar"/>
    <w:uiPriority w:val="10"/>
    <w:qFormat/>
    <w:rsid w:val="00E6721A"/>
    <w:pPr>
      <w:jc w:val="center"/>
    </w:pPr>
    <w:rPr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E6721A"/>
    <w:rPr>
      <w:rFonts w:ascii="Verdana" w:hAnsi="Verdana"/>
      <w:b/>
      <w:color w:val="000000"/>
      <w:sz w:val="48"/>
      <w:szCs w:val="48"/>
      <w:lang w:val="hu-HU"/>
    </w:rPr>
  </w:style>
  <w:style w:type="paragraph" w:styleId="Alcm">
    <w:name w:val="Subtitle"/>
    <w:basedOn w:val="Nincstrkz"/>
    <w:next w:val="0-Normal-szovegtorzs"/>
    <w:link w:val="AlcmChar"/>
    <w:uiPriority w:val="11"/>
    <w:qFormat/>
    <w:rsid w:val="00E6721A"/>
    <w:pPr>
      <w:spacing w:before="80" w:after="40"/>
      <w:jc w:val="center"/>
    </w:pPr>
    <w:rPr>
      <w:sz w:val="32"/>
      <w:szCs w:val="32"/>
    </w:rPr>
  </w:style>
  <w:style w:type="character" w:customStyle="1" w:styleId="AlcmChar">
    <w:name w:val="Alcím Char"/>
    <w:basedOn w:val="Bekezdsalapbettpusa"/>
    <w:link w:val="Alcm"/>
    <w:uiPriority w:val="11"/>
    <w:rsid w:val="00E6721A"/>
    <w:rPr>
      <w:rFonts w:asciiTheme="minorHAnsi" w:hAnsiTheme="minorHAnsi"/>
      <w:sz w:val="32"/>
      <w:szCs w:val="32"/>
    </w:rPr>
  </w:style>
  <w:style w:type="character" w:styleId="Kiemels2">
    <w:name w:val="Strong"/>
    <w:uiPriority w:val="22"/>
    <w:rsid w:val="00C22F6B"/>
    <w:rPr>
      <w:b/>
      <w:bCs/>
      <w:color w:val="A0AB44" w:themeColor="accent2" w:themeShade="BF"/>
      <w:spacing w:val="5"/>
    </w:rPr>
  </w:style>
  <w:style w:type="character" w:styleId="Kiemels">
    <w:name w:val="Emphasis"/>
    <w:uiPriority w:val="20"/>
    <w:rsid w:val="00C22F6B"/>
    <w:rPr>
      <w:caps/>
      <w:spacing w:val="5"/>
      <w:sz w:val="20"/>
      <w:szCs w:val="20"/>
    </w:rPr>
  </w:style>
  <w:style w:type="paragraph" w:styleId="Listaszerbekezds">
    <w:name w:val="List Paragraph"/>
    <w:basedOn w:val="Norml"/>
    <w:uiPriority w:val="34"/>
    <w:qFormat/>
    <w:rsid w:val="00C22F6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C22F6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22F6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rsid w:val="00C22F6B"/>
    <w:pPr>
      <w:pBdr>
        <w:top w:val="dotted" w:sz="2" w:space="10" w:color="6B722D" w:themeColor="accent2" w:themeShade="80"/>
        <w:bottom w:val="dotted" w:sz="2" w:space="4" w:color="6B722D" w:themeColor="accent2" w:themeShade="80"/>
      </w:pBdr>
      <w:spacing w:before="160" w:line="300" w:lineRule="auto"/>
      <w:ind w:left="1440" w:right="1440"/>
    </w:pPr>
    <w:rPr>
      <w:caps/>
      <w:color w:val="6A722D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22F6B"/>
    <w:rPr>
      <w:caps/>
      <w:color w:val="6A722D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rsid w:val="00C22F6B"/>
    <w:rPr>
      <w:i/>
      <w:iCs/>
    </w:rPr>
  </w:style>
  <w:style w:type="character" w:styleId="Erskiemels">
    <w:name w:val="Intense Emphasis"/>
    <w:uiPriority w:val="21"/>
    <w:rsid w:val="00C22F6B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rsid w:val="00C22F6B"/>
    <w:rPr>
      <w:rFonts w:asciiTheme="minorHAnsi" w:eastAsiaTheme="minorEastAsia" w:hAnsiTheme="minorHAnsi" w:cstheme="minorBidi"/>
      <w:i/>
      <w:iCs/>
      <w:color w:val="6A722D" w:themeColor="accent2" w:themeShade="7F"/>
    </w:rPr>
  </w:style>
  <w:style w:type="character" w:styleId="Ershivatkozs">
    <w:name w:val="Intense Reference"/>
    <w:uiPriority w:val="32"/>
    <w:rsid w:val="00C22F6B"/>
    <w:rPr>
      <w:rFonts w:asciiTheme="minorHAnsi" w:eastAsiaTheme="minorEastAsia" w:hAnsiTheme="minorHAnsi" w:cstheme="minorBidi"/>
      <w:b/>
      <w:bCs/>
      <w:i/>
      <w:iCs/>
      <w:color w:val="6A722D" w:themeColor="accent2" w:themeShade="7F"/>
    </w:rPr>
  </w:style>
  <w:style w:type="character" w:styleId="Knyvcme">
    <w:name w:val="Book Title"/>
    <w:uiPriority w:val="33"/>
    <w:rsid w:val="00C22F6B"/>
    <w:rPr>
      <w:caps/>
      <w:color w:val="6A722D" w:themeColor="accent2" w:themeShade="7F"/>
      <w:spacing w:val="5"/>
      <w:u w:color="6A722D" w:themeColor="accent2" w:themeShade="7F"/>
    </w:rPr>
  </w:style>
  <w:style w:type="paragraph" w:styleId="Tartalomjegyzkcmsora">
    <w:name w:val="TOC Heading"/>
    <w:basedOn w:val="Cmsor1"/>
    <w:next w:val="0-Normal-szovegtorzs"/>
    <w:uiPriority w:val="39"/>
    <w:unhideWhenUsed/>
    <w:qFormat/>
    <w:rsid w:val="00C22F6B"/>
    <w:pPr>
      <w:outlineLvl w:val="9"/>
    </w:pPr>
    <w:rPr>
      <w:lang w:bidi="en-US"/>
    </w:rPr>
  </w:style>
  <w:style w:type="paragraph" w:customStyle="1" w:styleId="PersonalName">
    <w:name w:val="Personal Name"/>
    <w:basedOn w:val="Cm"/>
    <w:rsid w:val="00C22F6B"/>
    <w:rPr>
      <w:b w:val="0"/>
      <w:caps/>
      <w:sz w:val="28"/>
      <w:szCs w:val="28"/>
    </w:rPr>
  </w:style>
  <w:style w:type="character" w:customStyle="1" w:styleId="NincstrkzChar">
    <w:name w:val="Nincs térköz Char"/>
    <w:basedOn w:val="Bekezdsalapbettpusa"/>
    <w:link w:val="Nincstrkz"/>
    <w:uiPriority w:val="1"/>
    <w:rsid w:val="00C22F6B"/>
  </w:style>
  <w:style w:type="character" w:styleId="Jegyzethivatkozs">
    <w:name w:val="annotation reference"/>
    <w:basedOn w:val="Bekezdsalapbettpusa"/>
    <w:uiPriority w:val="99"/>
    <w:semiHidden/>
    <w:unhideWhenUsed/>
    <w:rsid w:val="002E6968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2E6968"/>
    <w:pPr>
      <w:spacing w:line="240" w:lineRule="auto"/>
    </w:pPr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E6968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6968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696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696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968"/>
    <w:rPr>
      <w:rFonts w:ascii="Times New Roman" w:hAnsi="Times New Roman" w:cs="Times New Roman"/>
      <w:sz w:val="18"/>
      <w:szCs w:val="18"/>
    </w:rPr>
  </w:style>
  <w:style w:type="paragraph" w:customStyle="1" w:styleId="Sajtokozlemeny">
    <w:name w:val="Sajtokozlemeny"/>
    <w:basedOn w:val="Norml"/>
    <w:link w:val="SajtokozlemenyChar"/>
    <w:qFormat/>
    <w:rsid w:val="004A069D"/>
    <w:pPr>
      <w:tabs>
        <w:tab w:val="center" w:pos="4320"/>
      </w:tabs>
      <w:jc w:val="right"/>
    </w:pPr>
    <w:rPr>
      <w:rFonts w:ascii="Verdana" w:hAnsi="Verdana"/>
      <w:b/>
    </w:rPr>
  </w:style>
  <w:style w:type="table" w:styleId="Rcsostblzat">
    <w:name w:val="Table Grid"/>
    <w:basedOn w:val="Normltblzat"/>
    <w:uiPriority w:val="39"/>
    <w:rsid w:val="008C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jtokozlemenyChar">
    <w:name w:val="Sajtokozlemeny Char"/>
    <w:basedOn w:val="Bekezdsalapbettpusa"/>
    <w:link w:val="Sajtokozlemeny"/>
    <w:rsid w:val="004A069D"/>
    <w:rPr>
      <w:rFonts w:ascii="Verdana" w:hAnsi="Verdana"/>
      <w:b/>
    </w:rPr>
  </w:style>
  <w:style w:type="table" w:styleId="Tblzatrcsos1vilgos1jellszn">
    <w:name w:val="Grid Table 1 Light Accent 1"/>
    <w:basedOn w:val="Normltblzat"/>
    <w:uiPriority w:val="46"/>
    <w:rsid w:val="008C59E2"/>
    <w:pPr>
      <w:spacing w:after="0" w:line="240" w:lineRule="auto"/>
    </w:pPr>
    <w:tblPr>
      <w:tblStyleRowBandSize w:val="1"/>
      <w:tblStyleColBandSize w:val="1"/>
      <w:tblBorders>
        <w:top w:val="single" w:sz="4" w:space="0" w:color="E1EB98" w:themeColor="accent1" w:themeTint="66"/>
        <w:left w:val="single" w:sz="4" w:space="0" w:color="E1EB98" w:themeColor="accent1" w:themeTint="66"/>
        <w:bottom w:val="single" w:sz="4" w:space="0" w:color="E1EB98" w:themeColor="accent1" w:themeTint="66"/>
        <w:right w:val="single" w:sz="4" w:space="0" w:color="E1EB98" w:themeColor="accent1" w:themeTint="66"/>
        <w:insideH w:val="single" w:sz="4" w:space="0" w:color="E1EB98" w:themeColor="accent1" w:themeTint="66"/>
        <w:insideV w:val="single" w:sz="4" w:space="0" w:color="E1EB9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1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1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5stt1jellszn">
    <w:name w:val="Grid Table 5 Dark Accent 1"/>
    <w:basedOn w:val="Normltblzat"/>
    <w:uiPriority w:val="50"/>
    <w:rsid w:val="008C59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A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A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AA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AA21" w:themeFill="accent1"/>
      </w:tcPr>
    </w:tblStylePr>
    <w:tblStylePr w:type="band1Vert">
      <w:tblPr/>
      <w:tcPr>
        <w:shd w:val="clear" w:color="auto" w:fill="E1EB98" w:themeFill="accent1" w:themeFillTint="66"/>
      </w:tcPr>
    </w:tblStylePr>
    <w:tblStylePr w:type="band1Horz">
      <w:tblPr/>
      <w:tcPr>
        <w:shd w:val="clear" w:color="auto" w:fill="E1EB98" w:themeFill="accent1" w:themeFillTint="66"/>
      </w:tcPr>
    </w:tblStylePr>
  </w:style>
  <w:style w:type="character" w:customStyle="1" w:styleId="Feloldatlanmegemlts1">
    <w:name w:val="Feloldatlan megemlítés1"/>
    <w:basedOn w:val="Bekezdsalapbettpusa"/>
    <w:uiPriority w:val="99"/>
    <w:rsid w:val="00561B08"/>
    <w:rPr>
      <w:color w:val="605E5C"/>
      <w:shd w:val="clear" w:color="auto" w:fill="E1DFDD"/>
    </w:rPr>
  </w:style>
  <w:style w:type="table" w:styleId="Tblzatrcsos41jellszn">
    <w:name w:val="Grid Table 4 Accent 1"/>
    <w:basedOn w:val="Normltblzat"/>
    <w:uiPriority w:val="49"/>
    <w:rsid w:val="00A17886"/>
    <w:pPr>
      <w:spacing w:after="0" w:line="240" w:lineRule="auto"/>
    </w:pPr>
    <w:tblPr>
      <w:tblStyleRowBandSize w:val="1"/>
      <w:tblStyleColBandSize w:val="1"/>
      <w:tblBorders>
        <w:top w:val="single" w:sz="4" w:space="0" w:color="D2E164" w:themeColor="accent1" w:themeTint="99"/>
        <w:left w:val="single" w:sz="4" w:space="0" w:color="D2E164" w:themeColor="accent1" w:themeTint="99"/>
        <w:bottom w:val="single" w:sz="4" w:space="0" w:color="D2E164" w:themeColor="accent1" w:themeTint="99"/>
        <w:right w:val="single" w:sz="4" w:space="0" w:color="D2E164" w:themeColor="accent1" w:themeTint="99"/>
        <w:insideH w:val="single" w:sz="4" w:space="0" w:color="D2E164" w:themeColor="accent1" w:themeTint="99"/>
        <w:insideV w:val="single" w:sz="4" w:space="0" w:color="D2E16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A21" w:themeColor="accent1"/>
          <w:left w:val="single" w:sz="4" w:space="0" w:color="9AAA21" w:themeColor="accent1"/>
          <w:bottom w:val="single" w:sz="4" w:space="0" w:color="9AAA21" w:themeColor="accent1"/>
          <w:right w:val="single" w:sz="4" w:space="0" w:color="9AAA21" w:themeColor="accent1"/>
          <w:insideH w:val="nil"/>
          <w:insideV w:val="nil"/>
        </w:tcBorders>
        <w:shd w:val="clear" w:color="auto" w:fill="9AAA21" w:themeFill="accent1"/>
      </w:tcPr>
    </w:tblStylePr>
    <w:tblStylePr w:type="lastRow">
      <w:rPr>
        <w:b/>
        <w:bCs/>
      </w:rPr>
      <w:tblPr/>
      <w:tcPr>
        <w:tcBorders>
          <w:top w:val="double" w:sz="4" w:space="0" w:color="9AAA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B" w:themeFill="accent1" w:themeFillTint="33"/>
      </w:tcPr>
    </w:tblStylePr>
    <w:tblStylePr w:type="band1Horz">
      <w:tblPr/>
      <w:tcPr>
        <w:shd w:val="clear" w:color="auto" w:fill="F0F5CB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605097"/>
    <w:pPr>
      <w:spacing w:after="0" w:line="240" w:lineRule="auto"/>
    </w:pPr>
    <w:tblPr>
      <w:tblStyleRowBandSize w:val="1"/>
      <w:tblStyleColBandSize w:val="1"/>
      <w:tblBorders>
        <w:top w:val="single" w:sz="4" w:space="0" w:color="D9DEAD" w:themeColor="accent2" w:themeTint="99"/>
        <w:left w:val="single" w:sz="4" w:space="0" w:color="D9DEAD" w:themeColor="accent2" w:themeTint="99"/>
        <w:bottom w:val="single" w:sz="4" w:space="0" w:color="D9DEAD" w:themeColor="accent2" w:themeTint="99"/>
        <w:right w:val="single" w:sz="4" w:space="0" w:color="D9DEAD" w:themeColor="accent2" w:themeTint="99"/>
        <w:insideH w:val="single" w:sz="4" w:space="0" w:color="D9DEAD" w:themeColor="accent2" w:themeTint="99"/>
        <w:insideV w:val="single" w:sz="4" w:space="0" w:color="D9DE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977" w:themeColor="accent2"/>
          <w:left w:val="single" w:sz="4" w:space="0" w:color="C0C977" w:themeColor="accent2"/>
          <w:bottom w:val="single" w:sz="4" w:space="0" w:color="C0C977" w:themeColor="accent2"/>
          <w:right w:val="single" w:sz="4" w:space="0" w:color="C0C977" w:themeColor="accent2"/>
          <w:insideH w:val="nil"/>
          <w:insideV w:val="nil"/>
        </w:tcBorders>
        <w:shd w:val="clear" w:color="auto" w:fill="C0C977" w:themeFill="accent2"/>
      </w:tcPr>
    </w:tblStylePr>
    <w:tblStylePr w:type="lastRow">
      <w:rPr>
        <w:b/>
        <w:bCs/>
      </w:rPr>
      <w:tblPr/>
      <w:tcPr>
        <w:tcBorders>
          <w:top w:val="double" w:sz="4" w:space="0" w:color="C0C97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E3" w:themeFill="accent2" w:themeFillTint="33"/>
      </w:tcPr>
    </w:tblStylePr>
    <w:tblStylePr w:type="band1Horz">
      <w:tblPr/>
      <w:tcPr>
        <w:shd w:val="clear" w:color="auto" w:fill="F2F4E3" w:themeFill="accent2" w:themeFillTint="33"/>
      </w:tcPr>
    </w:tblStylePr>
  </w:style>
  <w:style w:type="table" w:styleId="Tblzatrcsos5stt2jellszn">
    <w:name w:val="Grid Table 5 Dark Accent 2"/>
    <w:basedOn w:val="Normltblzat"/>
    <w:uiPriority w:val="50"/>
    <w:rsid w:val="006050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97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97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97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977" w:themeFill="accent2"/>
      </w:tcPr>
    </w:tblStylePr>
    <w:tblStylePr w:type="band1Vert">
      <w:tblPr/>
      <w:tcPr>
        <w:shd w:val="clear" w:color="auto" w:fill="E5E9C8" w:themeFill="accent2" w:themeFillTint="66"/>
      </w:tcPr>
    </w:tblStylePr>
    <w:tblStylePr w:type="band1Horz">
      <w:tblPr/>
      <w:tcPr>
        <w:shd w:val="clear" w:color="auto" w:fill="E5E9C8" w:themeFill="accent2" w:themeFillTint="66"/>
      </w:tcPr>
    </w:tblStylePr>
  </w:style>
  <w:style w:type="character" w:customStyle="1" w:styleId="cp-fcmChar">
    <w:name w:val="cp-főcím Char"/>
    <w:basedOn w:val="Bekezdsalapbettpusa"/>
    <w:link w:val="cp-fcm"/>
    <w:rsid w:val="00CD7CD4"/>
    <w:rPr>
      <w:rFonts w:ascii="Verdana" w:hAnsi="Verdana"/>
      <w:b/>
      <w:color w:val="000000"/>
      <w:sz w:val="28"/>
      <w:szCs w:val="21"/>
      <w:lang w:val="hu-HU"/>
    </w:rPr>
  </w:style>
  <w:style w:type="paragraph" w:styleId="TJ1">
    <w:name w:val="toc 1"/>
    <w:basedOn w:val="Norml"/>
    <w:next w:val="Norml"/>
    <w:autoRedefine/>
    <w:uiPriority w:val="39"/>
    <w:unhideWhenUsed/>
    <w:rsid w:val="002763C7"/>
    <w:pPr>
      <w:tabs>
        <w:tab w:val="right" w:pos="8630"/>
      </w:tabs>
      <w:spacing w:before="360" w:after="0"/>
    </w:pPr>
    <w:rPr>
      <w:b/>
      <w:bCs/>
      <w:noProof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4F1950"/>
    <w:pPr>
      <w:spacing w:before="240" w:after="0"/>
    </w:pPr>
    <w:rPr>
      <w:b/>
      <w:bC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4F1950"/>
    <w:pPr>
      <w:spacing w:after="0"/>
      <w:ind w:left="22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4F1950"/>
    <w:pPr>
      <w:spacing w:after="0"/>
      <w:ind w:left="44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4F1950"/>
    <w:pPr>
      <w:spacing w:after="0"/>
      <w:ind w:left="660"/>
    </w:pPr>
    <w:rPr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4F1950"/>
    <w:pPr>
      <w:spacing w:after="0"/>
      <w:ind w:left="88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4F1950"/>
    <w:pPr>
      <w:spacing w:after="0"/>
      <w:ind w:left="110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4F1950"/>
    <w:pPr>
      <w:spacing w:after="0"/>
      <w:ind w:left="132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4F1950"/>
    <w:pPr>
      <w:spacing w:after="0"/>
      <w:ind w:left="1540"/>
    </w:pPr>
    <w:rPr>
      <w:sz w:val="20"/>
      <w:szCs w:val="20"/>
    </w:rPr>
  </w:style>
  <w:style w:type="table" w:styleId="Listaszertblzat41jellszn">
    <w:name w:val="List Table 4 Accent 1"/>
    <w:basedOn w:val="Normltblzat"/>
    <w:uiPriority w:val="49"/>
    <w:rsid w:val="00DF3654"/>
    <w:pPr>
      <w:spacing w:after="0" w:line="240" w:lineRule="auto"/>
    </w:pPr>
    <w:tblPr>
      <w:tblStyleRowBandSize w:val="1"/>
      <w:tblStyleColBandSize w:val="1"/>
      <w:tblBorders>
        <w:top w:val="single" w:sz="4" w:space="0" w:color="D2E164" w:themeColor="accent1" w:themeTint="99"/>
        <w:left w:val="single" w:sz="4" w:space="0" w:color="D2E164" w:themeColor="accent1" w:themeTint="99"/>
        <w:bottom w:val="single" w:sz="4" w:space="0" w:color="D2E164" w:themeColor="accent1" w:themeTint="99"/>
        <w:right w:val="single" w:sz="4" w:space="0" w:color="D2E164" w:themeColor="accent1" w:themeTint="99"/>
        <w:insideH w:val="single" w:sz="4" w:space="0" w:color="D2E16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A21" w:themeColor="accent1"/>
          <w:left w:val="single" w:sz="4" w:space="0" w:color="9AAA21" w:themeColor="accent1"/>
          <w:bottom w:val="single" w:sz="4" w:space="0" w:color="9AAA21" w:themeColor="accent1"/>
          <w:right w:val="single" w:sz="4" w:space="0" w:color="9AAA21" w:themeColor="accent1"/>
          <w:insideH w:val="nil"/>
        </w:tcBorders>
        <w:shd w:val="clear" w:color="auto" w:fill="9AAA21" w:themeFill="accent1"/>
      </w:tcPr>
    </w:tblStylePr>
    <w:tblStylePr w:type="lastRow">
      <w:rPr>
        <w:b/>
        <w:bCs/>
      </w:rPr>
      <w:tblPr/>
      <w:tcPr>
        <w:tcBorders>
          <w:top w:val="double" w:sz="4" w:space="0" w:color="D2E1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B" w:themeFill="accent1" w:themeFillTint="33"/>
      </w:tcPr>
    </w:tblStylePr>
    <w:tblStylePr w:type="band1Horz">
      <w:tblPr/>
      <w:tcPr>
        <w:shd w:val="clear" w:color="auto" w:fill="F0F5CB" w:themeFill="accent1" w:themeFillTint="33"/>
      </w:tcPr>
    </w:tblStylePr>
  </w:style>
  <w:style w:type="paragraph" w:styleId="Szvegtrzs">
    <w:name w:val="Body Text"/>
    <w:basedOn w:val="Norml"/>
    <w:link w:val="SzvegtrzsChar"/>
    <w:uiPriority w:val="1"/>
    <w:qFormat/>
    <w:rsid w:val="009909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uiPriority w:val="1"/>
    <w:rsid w:val="00990912"/>
    <w:rPr>
      <w:rFonts w:ascii="Arial" w:eastAsia="Arial" w:hAnsi="Arial" w:cs="Arial"/>
      <w:sz w:val="16"/>
      <w:szCs w:val="16"/>
      <w:lang w:val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83D96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DA6AB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EF4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gyfelszolgalat@mnb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nb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yfelszolgalat@cig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gyfelszolgalat@promobpx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g-color-theme">
      <a:dk1>
        <a:srgbClr val="000000"/>
      </a:dk1>
      <a:lt1>
        <a:srgbClr val="FFFFFF"/>
      </a:lt1>
      <a:dk2>
        <a:srgbClr val="000000"/>
      </a:dk2>
      <a:lt2>
        <a:srgbClr val="D5E3BF"/>
      </a:lt2>
      <a:accent1>
        <a:srgbClr val="9AAA21"/>
      </a:accent1>
      <a:accent2>
        <a:srgbClr val="C0C977"/>
      </a:accent2>
      <a:accent3>
        <a:srgbClr val="D5E3BF"/>
      </a:accent3>
      <a:accent4>
        <a:srgbClr val="D1D3D4"/>
      </a:accent4>
      <a:accent5>
        <a:srgbClr val="808285"/>
      </a:accent5>
      <a:accent6>
        <a:srgbClr val="000000"/>
      </a:accent6>
      <a:hlink>
        <a:srgbClr val="9AAA21"/>
      </a:hlink>
      <a:folHlink>
        <a:srgbClr val="D1D3D4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3FFCE7D6DABA6408911FF72D0D0C77D" ma:contentTypeVersion="9" ma:contentTypeDescription="Új dokumentum létrehozása." ma:contentTypeScope="" ma:versionID="c8a9051a67920cab2bab76960ada0afe">
  <xsd:schema xmlns:xsd="http://www.w3.org/2001/XMLSchema" xmlns:xs="http://www.w3.org/2001/XMLSchema" xmlns:p="http://schemas.microsoft.com/office/2006/metadata/properties" xmlns:ns2="7296e788-1e89-49b9-ac7c-3084103d4c7f" targetNamespace="http://schemas.microsoft.com/office/2006/metadata/properties" ma:root="true" ma:fieldsID="1fd136638877f6705b4b743e656e6cfd" ns2:_="">
    <xsd:import namespace="7296e788-1e89-49b9-ac7c-3084103d4c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6e788-1e89-49b9-ac7c-3084103d4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artalomtípus"/>
        <xsd:element ref="dc:title" minOccurs="0" maxOccurs="1" ma:index="3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F109CE-2D1A-438D-8A14-A8A4E67BD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6e788-1e89-49b9-ac7c-3084103d4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5AC25-BE51-4F4B-B593-BB7D6373C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93C24-DC90-4303-B3A9-273162C3F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1B92AA-5D22-48FF-9B8C-62E10198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1018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lOREM IPSUM</dc:subject>
  <dc:creator>Dr. Kozma Dávid</dc:creator>
  <cp:keywords/>
  <dc:description/>
  <cp:lastModifiedBy>Kóka Antal</cp:lastModifiedBy>
  <cp:revision>5</cp:revision>
  <cp:lastPrinted>2018-07-16T12:21:00Z</cp:lastPrinted>
  <dcterms:created xsi:type="dcterms:W3CDTF">2024-07-01T05:51:00Z</dcterms:created>
  <dcterms:modified xsi:type="dcterms:W3CDTF">2024-09-27T06:15:00Z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0x01010023FFCE7D6DABA6408911FF72D0D0C77D</vt:lpwstr>
  </property>
</Properties>
</file>